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440001-2024-02823</w:t>
      </w:r>
    </w:p>
    <w:p>
      <w:pPr>
        <w:jc w:val="center"/>
      </w:pPr>
      <w:r>
        <w:rPr>
          <w:b/>
          <w:sz w:val="24"/>
        </w:rPr>
        <w:t>采购项目编号：</w:t>
      </w:r>
      <w:r>
        <w:rPr>
          <w:b/>
          <w:sz w:val="24"/>
        </w:rPr>
        <w:t>GZGK24P015C0065Z</w:t>
      </w:r>
    </w:p>
    <w:p>
      <w:pPr>
        <w:jc w:val="center"/>
      </w:pPr>
      <w:r>
        <w:rPr>
          <w:b/>
          <w:sz w:val="24"/>
        </w:rPr>
        <w:t>项目名称：</w:t>
      </w:r>
      <w:r>
        <w:rPr>
          <w:b/>
          <w:sz w:val="24"/>
        </w:rPr>
        <w:t>广东省工伤康复中心广州院区食堂服务管理项目</w:t>
      </w:r>
    </w:p>
    <w:p>
      <w:pPr>
        <w:jc w:val="center"/>
      </w:pPr>
      <w:r>
        <w:rPr>
          <w:b/>
          <w:sz w:val="24"/>
        </w:rPr>
        <w:t>采购人：</w:t>
      </w:r>
      <w:r>
        <w:rPr>
          <w:b/>
          <w:sz w:val="24"/>
        </w:rPr>
        <w:t>广东省工伤康复中心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广东省工伤康复中心</w:t>
      </w:r>
      <w:r>
        <w:rPr/>
        <w:t>的委托，采用</w:t>
      </w:r>
      <w:r>
        <w:rPr/>
        <w:t>公开招标</w:t>
      </w:r>
      <w:r>
        <w:rPr/>
        <w:t>方式组织采购</w:t>
      </w:r>
      <w:r>
        <w:rPr/>
        <w:t>广东省工伤康复中心广州院区食堂服务管理项目</w:t>
      </w:r>
      <w:r>
        <w:rPr/>
        <w:t>。欢迎符合资格条件的国内供应商参加投标。</w:t>
      </w:r>
    </w:p>
    <w:p>
      <w:r>
        <w:rPr>
          <w:b/>
          <w:sz w:val="28"/>
        </w:rPr>
        <w:t>一.项目概述</w:t>
      </w:r>
    </w:p>
    <w:p>
      <w:r>
        <w:rPr>
          <w:b/>
          <w:sz w:val="24"/>
        </w:rPr>
        <w:t>1.名称与编号</w:t>
      </w:r>
    </w:p>
    <w:p>
      <w:pPr>
        <w:ind w:firstLine="480"/>
      </w:pPr>
      <w:r>
        <w:rPr/>
        <w:t>项目名称：</w:t>
      </w:r>
      <w:r>
        <w:rPr/>
        <w:t>广东省工伤康复中心广州院区食堂服务管理项目</w:t>
      </w:r>
    </w:p>
    <w:p>
      <w:pPr>
        <w:ind w:firstLine="480"/>
      </w:pPr>
      <w:r>
        <w:rPr/>
        <w:t>采购计划编号：</w:t>
      </w:r>
      <w:r>
        <w:rPr/>
        <w:t>440001-2024-02823</w:t>
      </w:r>
    </w:p>
    <w:p>
      <w:pPr>
        <w:ind w:firstLine="480"/>
      </w:pPr>
      <w:r>
        <w:rPr/>
        <w:t>采购项目编号：</w:t>
      </w:r>
      <w:r>
        <w:rPr/>
        <w:t>GZGK24P015C0065Z</w:t>
      </w:r>
    </w:p>
    <w:p>
      <w:pPr>
        <w:ind w:firstLine="480"/>
      </w:pPr>
      <w:r>
        <w:rPr/>
        <w:t>采购方式：</w:t>
      </w:r>
      <w:r>
        <w:rPr/>
        <w:t>公开招标</w:t>
      </w:r>
    </w:p>
    <w:p>
      <w:pPr>
        <w:ind w:firstLine="480"/>
      </w:pPr>
      <w:r>
        <w:rPr/>
        <w:t>预算金额：</w:t>
      </w:r>
      <w:r>
        <w:rPr/>
        <w:t>6,943,589.00</w:t>
      </w:r>
      <w:r>
        <w:rPr/>
        <w:t>元</w:t>
      </w:r>
    </w:p>
    <w:p>
      <w:r>
        <w:rPr>
          <w:b/>
          <w:sz w:val="24"/>
        </w:rPr>
        <w:t>2.项目内容及需求情况（采购项目技术规格、参数及要求）</w:t>
      </w:r>
    </w:p>
    <w:p>
      <w:pPr>
        <w:ind w:firstLine="480"/>
      </w:pPr>
    </w:p>
    <w:p/>
    <w:p>
      <w:r>
        <w:rPr/>
        <w:t>采购包1(广州院区食堂服务管理):</w:t>
      </w:r>
    </w:p>
    <w:p>
      <w:r>
        <w:rPr/>
        <w:t>采购包预算金额：6,943,589.00元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餐饮服务</w:t>
            </w:r>
          </w:p>
        </w:tc>
        <w:tc>
          <w:tcPr>
            <w:tcW w:type="dxa" w:w="2136"/>
          </w:tcPr>
          <w:p>
            <w:r>
              <w:rPr/>
              <w:t>广州院区食堂服务管理</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采购包1（广州院区食堂服务管理）：</w:t>
      </w:r>
      <w:r>
        <w:rPr/>
        <w:t>本采购包不属于专门面向中小企业采购的项目。</w:t>
      </w:r>
    </w:p>
    <w:p/>
    <w:p>
      <w:r>
        <w:rPr>
          <w:b/>
          <w:sz w:val="24"/>
        </w:rPr>
        <w:t>3.本项目特定的资格要求：</w:t>
      </w:r>
    </w:p>
    <w:p>
      <w:pPr>
        <w:ind w:firstLine="480"/>
      </w:pPr>
    </w:p>
    <w:p/>
    <w:p>
      <w:r>
        <w:rPr/>
        <w:t>采购包1（广州院区食堂服务管理）：</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3)具有有效的《食品经营许可证》（提供有效期内的证书复印件，如国家另有规定，则适用其规定）</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广东省工伤康复中心</w:t>
      </w:r>
    </w:p>
    <w:p>
      <w:pPr>
        <w:ind w:firstLine="480"/>
      </w:pPr>
      <w:r>
        <w:rPr/>
        <w:t>地址：</w:t>
      </w:r>
      <w:r>
        <w:rPr/>
        <w:t>广州白云区启德路68号</w:t>
      </w:r>
    </w:p>
    <w:p>
      <w:pPr>
        <w:ind w:firstLine="480"/>
      </w:pPr>
      <w:r>
        <w:rPr/>
        <w:t>联系方式：</w:t>
      </w:r>
      <w:r>
        <w:rPr/>
        <w:t>020-66600006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020-37814404、020-87687030</w:t>
      </w:r>
    </w:p>
    <w:p>
      <w:r>
        <w:rPr>
          <w:b/>
          <w:sz w:val="24"/>
        </w:rPr>
        <w:t>3.项目联系方式</w:t>
      </w:r>
    </w:p>
    <w:p>
      <w:pPr>
        <w:ind w:firstLine="480"/>
      </w:pPr>
      <w:r>
        <w:rPr/>
        <w:t>项目联系人：</w:t>
      </w:r>
      <w:r>
        <w:rPr/>
        <w:t>吕永珊、伍梁敏</w:t>
      </w:r>
    </w:p>
    <w:p>
      <w:pPr>
        <w:ind w:firstLine="480"/>
      </w:pPr>
      <w:r>
        <w:rPr/>
        <w:t>电话：</w:t>
      </w:r>
      <w:r>
        <w:rPr/>
        <w:t>020-37814404、020-87687030</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GZGK24P015C0065Z</w:t>
      </w:r>
    </w:p>
    <w:p>
      <w:pPr>
        <w:jc w:val="both"/>
      </w:pPr>
      <w:r>
        <w:rPr>
          <w:b/>
          <w:sz w:val="21"/>
        </w:rPr>
        <w:t>（二）</w:t>
      </w:r>
      <w:r>
        <w:rPr>
          <w:b/>
          <w:sz w:val="21"/>
        </w:rPr>
        <w:t>项目名称：</w:t>
      </w:r>
      <w:r>
        <w:rPr>
          <w:sz w:val="21"/>
        </w:rPr>
        <w:t>广东省工伤康复中心广州院区食堂服务管理项目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投标人没有在投标文件中注明偏离（文字说明或在响应表注明）的条款视为被投标人完全接受。</w:t>
      </w:r>
    </w:p>
    <w:p>
      <w:pPr>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jc w:val="both"/>
      </w:pPr>
      <w:r>
        <w:rPr>
          <w:sz w:val="21"/>
        </w:rPr>
        <w:t>6、</w:t>
      </w:r>
      <w:r>
        <w:rPr>
          <w:sz w:val="21"/>
        </w:rPr>
        <w:t>不允许中标供应商</w:t>
      </w:r>
      <w:r>
        <w:rPr>
          <w:sz w:val="21"/>
        </w:rPr>
        <w:t>转包、分包项目内容</w:t>
      </w:r>
      <w:r>
        <w:rPr>
          <w:sz w:val="21"/>
        </w:rPr>
        <w:t>。</w:t>
      </w:r>
    </w:p>
    <w:p>
      <w:pPr>
        <w:jc w:val="both"/>
      </w:pPr>
      <w:r>
        <w:rPr>
          <w:sz w:val="21"/>
        </w:rPr>
        <w:t>7、</w:t>
      </w:r>
      <w:r>
        <w:rPr>
          <w:sz w:val="21"/>
        </w:rPr>
        <w:t>小型和微型企业、监狱企业和残疾人福利性单位必须按照招标文件第三章内容提供相应的资料。</w:t>
      </w:r>
    </w:p>
    <w:p>
      <w:pPr>
        <w:jc w:val="both"/>
      </w:pPr>
      <w:r>
        <w:rPr>
          <w:sz w:val="21"/>
        </w:rPr>
        <w:t>8、</w:t>
      </w:r>
      <w:r>
        <w:rPr>
          <w:sz w:val="21"/>
        </w:rPr>
        <w:t>需落实政府采购政策为：促进中小企业发展政策、支持监狱企业发展政策、支持残疾人福利性单位发展政策、优先采购节能产品、环境标志产品相关政策等。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p>
    <w:p>
      <w:pPr>
        <w:jc w:val="both"/>
      </w:pPr>
      <w:r>
        <w:rPr>
          <w:sz w:val="21"/>
        </w:rPr>
        <w:t>2、</w:t>
      </w:r>
      <w:r>
        <w:rPr>
          <w:sz w:val="21"/>
        </w:rPr>
        <w:t>纸质投标文件邮寄地址（邮寄地址：广州市先烈中路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color w:val="000000"/>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w:t>
      </w:r>
      <w:r>
        <w:rPr>
          <w:b/>
          <w:color w:val="000000"/>
          <w:sz w:val="21"/>
        </w:rPr>
        <w:t>，以免影响投标文件的解密。</w:t>
      </w:r>
    </w:p>
    <w:p>
      <w:pPr>
        <w:jc w:val="both"/>
      </w:pPr>
      <w:r>
        <w:rPr>
          <w:b/>
          <w:color w:val="000000"/>
          <w:sz w:val="21"/>
        </w:rPr>
        <w:t>（五）</w:t>
      </w:r>
      <w:r>
        <w:rPr>
          <w:b/>
          <w:color w:val="000000"/>
          <w:sz w:val="21"/>
        </w:rPr>
        <w:t>实现的目标</w:t>
      </w:r>
    </w:p>
    <w:p>
      <w:pPr>
        <w:ind w:firstLine="420"/>
        <w:jc w:val="left"/>
      </w:pPr>
      <w:r>
        <w:rPr>
          <w:color w:val="000000"/>
          <w:sz w:val="21"/>
        </w:rPr>
        <w:t>投标本项目拟通过公开招标选取一家中标供应商，为采购人提供</w:t>
      </w:r>
      <w:r>
        <w:rPr>
          <w:color w:val="000000"/>
          <w:sz w:val="21"/>
        </w:rPr>
        <w:t>广州院区食堂服务管理。</w:t>
      </w:r>
    </w:p>
    <w:p>
      <w:pPr>
        <w:jc w:val="both"/>
      </w:pPr>
      <w:r>
        <w:rPr>
          <w:b/>
          <w:color w:val="000000"/>
          <w:sz w:val="21"/>
        </w:rPr>
        <w:t>（六）</w:t>
      </w:r>
      <w:r>
        <w:rPr>
          <w:b/>
          <w:color w:val="000000"/>
          <w:sz w:val="21"/>
        </w:rPr>
        <w:t>需执行国家相关标准、行业标准、地方标准或者其他标准、规范</w:t>
      </w:r>
    </w:p>
    <w:p/>
    <w:p>
      <w:pPr>
        <w:ind w:firstLine="480"/>
      </w:pPr>
    </w:p>
    <w:p/>
    <w:p>
      <w:r>
        <w:rPr/>
        <w:t>采购包1（广州院区食堂服务管理）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服务期限：合同服务期采取三十个月承包模式，但如合同期间中标供应商服务质量不达标，达到招标文件规定的采购人单方解除合同条件，则采购人有权提前终止合同。</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1期：支付比例100%,（1）服务费按月支付，由中标供应商于每月10号前向采购人提交上月的结算依据及请款申请，经采购人确认后，10个工作日内向中标供应商支付上月的服务费用。 （2）中标供应商向采购人开具正式发票，并提供发票复印件（加盖采购人公章），方可办理相关申报支付手续。 （3）支付方式：银行对公转账方式支付服务费。</w:t>
            </w:r>
          </w:p>
        </w:tc>
      </w:tr>
      <w:tr>
        <w:tc>
          <w:tcPr>
            <w:tcW w:type="dxa" w:w="4153"/>
          </w:tcPr>
          <w:p>
            <w:r>
              <w:rPr/>
              <w:t>验收要求</w:t>
            </w:r>
          </w:p>
        </w:tc>
        <w:tc>
          <w:tcPr>
            <w:tcW w:type="dxa" w:w="4153"/>
          </w:tcPr>
          <w:p/>
          <w:p/>
          <w:p/>
          <w:p>
            <w:r>
              <w:rPr/>
              <w:t>1期：采购人对中标供应商的服务进行考核评议：采购人由食堂事务管理部门、工会伙委会等相关人员组成膳食管理小组对食堂服务进行月度综合考核（考核内容见《广东省工伤康复中心食堂服务月度综合考核表》），采购人根据考核结果，及中标供应商整改后的情况进行验收，如达到招标文件规定的采购人单方解除合同条件，则采购人有权提前终止合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餐饮服务</w:t>
            </w:r>
          </w:p>
        </w:tc>
        <w:tc>
          <w:tcPr>
            <w:tcW w:type="dxa" w:w="933"/>
          </w:tcPr>
          <w:p>
            <w:pPr>
              <w:jc w:val="left"/>
            </w:pPr>
            <w:r>
              <w:rPr/>
              <w:t>广州院区食堂服务管理</w:t>
            </w:r>
          </w:p>
        </w:tc>
        <w:tc>
          <w:tcPr>
            <w:tcW w:type="dxa" w:w="933"/>
          </w:tcPr>
          <w:p>
            <w:pPr>
              <w:jc w:val="left"/>
            </w:pPr>
            <w:r>
              <w:rPr/>
              <w:t>项</w:t>
            </w:r>
          </w:p>
        </w:tc>
        <w:tc>
          <w:tcPr>
            <w:tcW w:type="dxa" w:w="933"/>
          </w:tcPr>
          <w:p>
            <w:pPr>
              <w:jc w:val="right"/>
            </w:pPr>
            <w:r>
              <w:rPr/>
              <w:t>1.00</w:t>
            </w:r>
          </w:p>
        </w:tc>
        <w:tc>
          <w:tcPr>
            <w:tcW w:type="dxa" w:w="933"/>
          </w:tcPr>
          <w:p>
            <w:pPr>
              <w:jc w:val="right"/>
            </w:pPr>
            <w:r>
              <w:rPr/>
              <w:t>6,943,589.00</w:t>
            </w:r>
          </w:p>
        </w:tc>
        <w:tc>
          <w:tcPr>
            <w:tcW w:type="dxa" w:w="933"/>
          </w:tcPr>
          <w:p>
            <w:pPr>
              <w:jc w:val="right"/>
            </w:pPr>
            <w:r>
              <w:rPr/>
              <w:t>6,943,589.00</w:t>
            </w:r>
          </w:p>
        </w:tc>
        <w:tc>
          <w:tcPr>
            <w:tcW w:type="dxa" w:w="840"/>
          </w:tcPr>
          <w:p>
            <w:r>
              <w:rPr/>
              <w:t>餐饮业</w:t>
            </w:r>
          </w:p>
        </w:tc>
        <w:tc>
          <w:tcPr>
            <w:tcW w:type="dxa" w:w="933"/>
          </w:tcPr>
          <w:p>
            <w:r>
              <w:rPr/>
              <w:t>详见附表一</w:t>
            </w:r>
          </w:p>
        </w:tc>
      </w:tr>
    </w:tbl>
    <w:p/>
    <w:p>
      <w:r>
        <w:rPr>
          <w:b/>
        </w:rPr>
        <w:t>附表</w:t>
      </w:r>
      <w:r>
        <w:rPr>
          <w:b/>
        </w:rPr>
        <w:t>一</w:t>
      </w:r>
      <w:r>
        <w:rPr>
          <w:b/>
        </w:rPr>
        <w:t>：</w:t>
      </w:r>
      <w:r>
        <w:rPr>
          <w:b/>
        </w:rPr>
        <w:t>广州院区食堂服务管理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项目一览表</w:t>
            </w:r>
          </w:p>
          <w:tbl>
            <w:tblPr>
              <w:tblBorders>
                <w:top w:val="none" w:color="000000" w:sz="4"/>
                <w:left w:val="none" w:color="000000" w:sz="4"/>
                <w:bottom w:val="none" w:color="000000" w:sz="4"/>
                <w:right w:val="none" w:color="000000" w:sz="4"/>
                <w:insideH w:val="none"/>
                <w:insideV w:val="none"/>
              </w:tblBorders>
            </w:tblPr>
            <w:tblGrid>
              <w:gridCol w:w="1695"/>
              <w:gridCol w:w="709"/>
              <w:gridCol w:w="1440"/>
              <w:gridCol w:w="1754"/>
            </w:tblGrid>
            <w:tr>
              <w:tc>
                <w:tcPr>
                  <w:tcW w:type="dxa" w:w="1695"/>
                  <w:tcBorders>
                    <w:top w:val="single" w:color="000000" w:sz="8"/>
                    <w:left w:val="single" w:color="000000" w:sz="8"/>
                    <w:bottom w:val="single" w:color="000000" w:sz="4"/>
                    <w:right w:val="single" w:color="000000" w:sz="4"/>
                  </w:tcBorders>
                  <w:vAlign w:val="top"/>
                </w:tcPr>
                <w:p>
                  <w:pPr>
                    <w:jc w:val="center"/>
                  </w:pPr>
                  <w:r>
                    <w:rPr>
                      <w:b/>
                      <w:sz w:val="21"/>
                    </w:rPr>
                    <w:t>采购内容</w:t>
                  </w:r>
                </w:p>
              </w:tc>
              <w:tc>
                <w:tcPr>
                  <w:tcW w:type="dxa" w:w="709"/>
                  <w:tcBorders>
                    <w:top w:val="single" w:color="000000" w:sz="8"/>
                    <w:left w:val="single" w:color="000000" w:sz="4"/>
                    <w:bottom w:val="single" w:color="000000" w:sz="4"/>
                    <w:right w:val="single" w:color="000000" w:sz="4"/>
                  </w:tcBorders>
                  <w:vAlign w:val="top"/>
                </w:tcPr>
                <w:p>
                  <w:pPr>
                    <w:jc w:val="center"/>
                  </w:pPr>
                  <w:r>
                    <w:rPr>
                      <w:b/>
                      <w:sz w:val="21"/>
                    </w:rPr>
                    <w:t>数量</w:t>
                  </w:r>
                </w:p>
              </w:tc>
              <w:tc>
                <w:tcPr>
                  <w:tcW w:type="dxa" w:w="1440"/>
                  <w:tcBorders>
                    <w:top w:val="single" w:color="000000" w:sz="8"/>
                    <w:left w:val="single" w:color="000000" w:sz="4"/>
                    <w:bottom w:val="single" w:color="000000" w:sz="4"/>
                    <w:right w:val="single" w:color="000000" w:sz="4"/>
                  </w:tcBorders>
                  <w:vAlign w:val="top"/>
                </w:tcPr>
                <w:p>
                  <w:pPr>
                    <w:jc w:val="center"/>
                  </w:pPr>
                  <w:r>
                    <w:rPr>
                      <w:b/>
                      <w:sz w:val="21"/>
                    </w:rPr>
                    <w:t>项目预算</w:t>
                  </w:r>
                </w:p>
              </w:tc>
              <w:tc>
                <w:tcPr>
                  <w:tcW w:type="dxa" w:w="1754"/>
                  <w:tcBorders>
                    <w:top w:val="single" w:color="000000" w:sz="8"/>
                    <w:left w:val="single" w:color="000000" w:sz="4"/>
                    <w:bottom w:val="single" w:color="000000" w:sz="4"/>
                    <w:right w:val="single" w:color="000000" w:sz="8"/>
                  </w:tcBorders>
                  <w:vAlign w:val="top"/>
                </w:tcPr>
                <w:p>
                  <w:pPr>
                    <w:jc w:val="center"/>
                  </w:pPr>
                  <w:r>
                    <w:rPr>
                      <w:b/>
                      <w:sz w:val="21"/>
                    </w:rPr>
                    <w:t>服务期</w:t>
                  </w:r>
                </w:p>
              </w:tc>
            </w:tr>
            <w:tr>
              <w:tc>
                <w:tcPr>
                  <w:tcW w:type="dxa" w:w="1695"/>
                  <w:tcBorders>
                    <w:top w:val="single" w:color="000000" w:sz="4"/>
                    <w:left w:val="single" w:color="000000" w:sz="8"/>
                    <w:bottom w:val="single" w:color="000000" w:sz="8"/>
                    <w:right w:val="single" w:color="000000" w:sz="4"/>
                  </w:tcBorders>
                  <w:vAlign w:val="top"/>
                </w:tcPr>
                <w:p>
                  <w:pPr>
                    <w:jc w:val="center"/>
                  </w:pPr>
                  <w:r>
                    <w:rPr>
                      <w:sz w:val="21"/>
                    </w:rPr>
                    <w:t>广州院区食堂服务管理</w:t>
                  </w:r>
                </w:p>
              </w:tc>
              <w:tc>
                <w:tcPr>
                  <w:tcW w:type="dxa" w:w="709"/>
                  <w:tcBorders>
                    <w:top w:val="single" w:color="000000" w:sz="4"/>
                    <w:left w:val="single" w:color="000000" w:sz="4"/>
                    <w:bottom w:val="single" w:color="000000" w:sz="8"/>
                    <w:right w:val="single" w:color="000000" w:sz="4"/>
                  </w:tcBorders>
                  <w:vAlign w:val="top"/>
                </w:tcPr>
                <w:p>
                  <w:pPr>
                    <w:jc w:val="center"/>
                  </w:pPr>
                  <w:r>
                    <w:rPr>
                      <w:sz w:val="21"/>
                    </w:rPr>
                    <w:t>一项</w:t>
                  </w:r>
                </w:p>
              </w:tc>
              <w:tc>
                <w:tcPr>
                  <w:tcW w:type="dxa" w:w="1440"/>
                  <w:tcBorders>
                    <w:top w:val="single" w:color="000000" w:sz="4"/>
                    <w:left w:val="single" w:color="000000" w:sz="4"/>
                    <w:bottom w:val="single" w:color="000000" w:sz="8"/>
                    <w:right w:val="single" w:color="000000" w:sz="4"/>
                  </w:tcBorders>
                  <w:vAlign w:val="top"/>
                </w:tcPr>
                <w:p>
                  <w:pPr>
                    <w:jc w:val="center"/>
                  </w:pPr>
                  <w:r>
                    <w:rPr>
                      <w:sz w:val="21"/>
                    </w:rPr>
                    <w:t>人民币</w:t>
                  </w:r>
                  <w:r>
                    <w:rPr>
                      <w:sz w:val="21"/>
                    </w:rPr>
                    <w:t>6943589元</w:t>
                  </w:r>
                </w:p>
              </w:tc>
              <w:tc>
                <w:tcPr>
                  <w:tcW w:type="dxa" w:w="1754"/>
                  <w:tcBorders>
                    <w:top w:val="single" w:color="000000" w:sz="4"/>
                    <w:left w:val="single" w:color="000000" w:sz="4"/>
                    <w:bottom w:val="single" w:color="000000" w:sz="8"/>
                    <w:right w:val="single" w:color="000000" w:sz="8"/>
                  </w:tcBorders>
                  <w:vAlign w:val="top"/>
                </w:tcPr>
                <w:p>
                  <w:pPr>
                    <w:jc w:val="center"/>
                  </w:pPr>
                  <w:r>
                    <w:rPr>
                      <w:sz w:val="21"/>
                    </w:rPr>
                    <w:t>自合同签订之日起三十个月</w:t>
                  </w:r>
                </w:p>
              </w:tc>
            </w:tr>
          </w:tbl>
          <w:p>
            <w:pPr>
              <w:jc w:val="both"/>
            </w:pPr>
            <w:r>
              <w:rPr>
                <w:b/>
                <w:sz w:val="21"/>
              </w:rPr>
              <w:t>二、</w:t>
            </w:r>
            <w:r>
              <w:rPr>
                <w:b/>
                <w:sz w:val="21"/>
              </w:rPr>
              <w:t>投标报价要求</w:t>
            </w:r>
          </w:p>
          <w:p>
            <w:pPr>
              <w:jc w:val="left"/>
            </w:pPr>
            <w:r>
              <w:rPr>
                <w:sz w:val="21"/>
              </w:rPr>
              <w:t>（一）投标报价包括：</w:t>
            </w:r>
            <w:r>
              <w:rPr>
                <w:sz w:val="21"/>
              </w:rPr>
              <w:t>食堂工作人员的</w:t>
            </w:r>
            <w:r>
              <w:rPr>
                <w:sz w:val="21"/>
              </w:rPr>
              <w:t>工资、福利、法定节假日加班费、住宿、体检费、劳保用品及服装费用、工伤及相关费用、五险一金、高温补贴等（</w:t>
            </w:r>
            <w:r>
              <w:rPr>
                <w:sz w:val="21"/>
              </w:rPr>
              <w:t>注：</w:t>
            </w:r>
            <w:r>
              <w:rPr>
                <w:sz w:val="21"/>
              </w:rPr>
              <w:t>中标供应商工作人员每人每月可正常排休四天，</w:t>
            </w:r>
            <w:r>
              <w:rPr>
                <w:sz w:val="21"/>
              </w:rPr>
              <w:t>视为满勤</w:t>
            </w:r>
            <w:r>
              <w:rPr>
                <w:sz w:val="21"/>
              </w:rPr>
              <w:t>，</w:t>
            </w:r>
            <w:r>
              <w:rPr>
                <w:sz w:val="21"/>
              </w:rPr>
              <w:t>中标供应商须保证工作人员加班时长不违反劳动法的规定</w:t>
            </w:r>
            <w:r>
              <w:rPr>
                <w:sz w:val="21"/>
              </w:rPr>
              <w:t>；法定节假日的人员安排由中标供应商负责合理调整并提前向采购人报备，但法定节假日期间中标供应商每天的当值管理、生产、服务人员最少不得低于</w:t>
            </w:r>
            <w:r>
              <w:rPr>
                <w:sz w:val="21"/>
              </w:rPr>
              <w:t>20人；中标供应商需保证采购人节假日期间早餐、午餐和晚餐正常供应及保障服务品质，如节假日期间采购人有特殊供餐需求，中标供应商需无条件配足所需人员完成供餐服务</w:t>
            </w:r>
            <w:r>
              <w:rPr>
                <w:sz w:val="21"/>
              </w:rPr>
              <w:t>）、食品制作加工、食堂现场管理、病房送餐服务、围餐服务、</w:t>
            </w:r>
            <w:r>
              <w:rPr>
                <w:sz w:val="21"/>
              </w:rPr>
              <w:t>突发事件或紧急状况时的应急供餐服务配送、</w:t>
            </w:r>
            <w:r>
              <w:rPr>
                <w:sz w:val="21"/>
              </w:rPr>
              <w:t>食堂除四害费用、食堂工作人员防疫物资、食堂宣传标识及宣教用品、采购人食堂现有设备所发生的单次</w:t>
            </w:r>
            <w:r>
              <w:rPr>
                <w:sz w:val="21"/>
              </w:rPr>
              <w:t>1000元以下的设备故障修缮（</w:t>
            </w:r>
            <w:r>
              <w:rPr>
                <w:sz w:val="21"/>
              </w:rPr>
              <w:t>超出</w:t>
            </w:r>
            <w:r>
              <w:rPr>
                <w:sz w:val="21"/>
              </w:rPr>
              <w:t>1000 元以上且非中标供应商人为损坏的设备故障，费用由采购人承担</w:t>
            </w:r>
            <w:r>
              <w:rPr>
                <w:sz w:val="21"/>
              </w:rPr>
              <w:t>）、厨余垃圾合法处置与外运、</w:t>
            </w:r>
            <w:r>
              <w:rPr>
                <w:sz w:val="21"/>
              </w:rPr>
              <w:t>排污管道按需清理、</w:t>
            </w:r>
            <w:r>
              <w:rPr>
                <w:sz w:val="21"/>
              </w:rPr>
              <w:t>排烟罩除油清洗（每季度一次）、设备设施的日常维护和保养、小件生产服务用品（餐具、刀具、砧板、洗菜盆框、配菜碗碟、清洁工具、餐线隔离带、防滑地垫等）的按需添置、</w:t>
            </w:r>
            <w:r>
              <w:rPr>
                <w:sz w:val="21"/>
              </w:rPr>
              <w:t>年度赔付额</w:t>
            </w:r>
            <w:r>
              <w:rPr>
                <w:sz w:val="21"/>
              </w:rPr>
              <w:t>不低于</w:t>
            </w:r>
            <w:r>
              <w:rPr>
                <w:sz w:val="21"/>
              </w:rPr>
              <w:t>500万元人民币的公共责任险和</w:t>
            </w:r>
            <w:r>
              <w:rPr>
                <w:sz w:val="21"/>
              </w:rPr>
              <w:t>年度赔付额</w:t>
            </w:r>
            <w:r>
              <w:rPr>
                <w:sz w:val="21"/>
              </w:rPr>
              <w:t>不低于</w:t>
            </w:r>
            <w:r>
              <w:rPr>
                <w:sz w:val="21"/>
              </w:rPr>
              <w:t>500万元人民币的食品安全责任险、各项管理费用、利润、税费及所有不可预见的隐含费用。上述费用如涉及到多次需求，所有费用都包含在内，如投标报价出现任何遗漏，均由中标供应商负责，采购人不再另行支付任何费用。</w:t>
            </w:r>
          </w:p>
          <w:p>
            <w:pPr>
              <w:jc w:val="left"/>
            </w:pPr>
            <w:r>
              <w:rPr>
                <w:sz w:val="21"/>
              </w:rPr>
              <w:t>（二）投标人报价时应充分考虑合同期内相关人工成本变化所带来的风险。</w:t>
            </w:r>
          </w:p>
          <w:p>
            <w:pPr>
              <w:jc w:val="both"/>
            </w:pPr>
            <w:r>
              <w:rPr>
                <w:b/>
                <w:sz w:val="21"/>
              </w:rPr>
              <w:t>三、</w:t>
            </w:r>
            <w:r>
              <w:rPr>
                <w:b/>
                <w:sz w:val="21"/>
              </w:rPr>
              <w:t>运营管理要求</w:t>
            </w:r>
          </w:p>
          <w:p>
            <w:pPr>
              <w:jc w:val="left"/>
            </w:pPr>
            <w:r>
              <w:rPr>
                <w:sz w:val="21"/>
              </w:rPr>
              <w:t>（一）基本要求：</w:t>
            </w:r>
          </w:p>
          <w:p>
            <w:pPr>
              <w:jc w:val="left"/>
            </w:pPr>
            <w:r>
              <w:rPr>
                <w:sz w:val="21"/>
              </w:rPr>
              <w:t>1.投标人须提供拟采取的管理方式及管理规章制度。包括但不限于：内部管理架构、机构设置、运作机制、</w:t>
            </w:r>
            <w:r>
              <w:rPr>
                <w:sz w:val="21"/>
              </w:rPr>
              <w:t>食品卫生及安全作业工作制度</w:t>
            </w:r>
            <w:r>
              <w:rPr>
                <w:sz w:val="21"/>
              </w:rPr>
              <w:t>和流程、信息反馈渠道、质量控制方式、应急预案等。</w:t>
            </w:r>
          </w:p>
          <w:p>
            <w:pPr>
              <w:jc w:val="left"/>
            </w:pPr>
            <w:r>
              <w:rPr>
                <w:sz w:val="21"/>
              </w:rPr>
              <w:t>2.投标人须提供服务工作必需的物质装备计划情况。</w:t>
            </w:r>
          </w:p>
          <w:p>
            <w:pPr>
              <w:jc w:val="left"/>
            </w:pPr>
            <w:r>
              <w:rPr>
                <w:sz w:val="21"/>
              </w:rPr>
              <w:t>3.突发事件或紧急状况时应急供餐需求：中标供应商应确保在采购人遇到突发事件或紧急状况时（包括但不限于发生断水断电、地震、暴雨、台风、洪涝等），能为采购人提供满足全体人员餐饮需求的应急配送服务（含 早、午、晚餐及饮水供给）。</w:t>
            </w:r>
          </w:p>
          <w:p>
            <w:pPr>
              <w:jc w:val="left"/>
            </w:pPr>
            <w:r>
              <w:rPr>
                <w:sz w:val="21"/>
              </w:rPr>
              <w:t>（二）</w:t>
            </w:r>
            <w:r>
              <w:rPr>
                <w:sz w:val="21"/>
              </w:rPr>
              <w:t>质量标准</w:t>
            </w:r>
          </w:p>
          <w:p>
            <w:pPr>
              <w:jc w:val="left"/>
            </w:pPr>
            <w:r>
              <w:rPr>
                <w:sz w:val="21"/>
              </w:rPr>
              <w:t>1.中标供应商保证合同服务符合本项目《采购需求》要求。</w:t>
            </w:r>
          </w:p>
          <w:p>
            <w:pPr>
              <w:jc w:val="left"/>
            </w:pPr>
            <w:r>
              <w:rPr>
                <w:sz w:val="21"/>
              </w:rPr>
              <w:t>2.中标供应商须尊重和服从采购人的领导和管理，积极主动配合采购人的工作安排，并能全面符合采购人申报“三甲康复专科医院”评审涉及医疗机构食堂膳食服务及食品卫生安全所需达到的各项服务管理指标和标准。</w:t>
            </w:r>
          </w:p>
          <w:p>
            <w:pPr>
              <w:jc w:val="left"/>
            </w:pPr>
            <w:r>
              <w:rPr>
                <w:sz w:val="21"/>
              </w:rPr>
              <w:t>3.采购人与中标供应商应根据招标文件中《采购需求》的内容拟定合同附件条款。</w:t>
            </w:r>
          </w:p>
          <w:p>
            <w:pPr>
              <w:jc w:val="left"/>
            </w:pPr>
            <w:r>
              <w:rPr>
                <w:sz w:val="21"/>
              </w:rPr>
              <w:t>（三）</w:t>
            </w:r>
            <w:r>
              <w:rPr>
                <w:sz w:val="21"/>
              </w:rPr>
              <w:t>服务期限及合同签订</w:t>
            </w:r>
          </w:p>
          <w:p>
            <w:pPr>
              <w:jc w:val="left"/>
            </w:pPr>
            <w:r>
              <w:rPr>
                <w:sz w:val="21"/>
              </w:rPr>
              <w:t>1.服务地点：采购人指定地点。</w:t>
            </w:r>
          </w:p>
          <w:p>
            <w:pPr>
              <w:jc w:val="left"/>
            </w:pPr>
            <w:r>
              <w:rPr>
                <w:sz w:val="21"/>
              </w:rPr>
              <w:t>2.服务期限：</w:t>
            </w:r>
            <w:r>
              <w:rPr>
                <w:sz w:val="21"/>
              </w:rPr>
              <w:t>合同服务期采取三十个月承包模式，但如合同期间中标供应商服务质量不达标，达到招标文件规定的采购人单方解除合同条件，则采购人有权提前终止合同。</w:t>
            </w:r>
          </w:p>
          <w:p>
            <w:pPr>
              <w:jc w:val="left"/>
            </w:pPr>
            <w:r>
              <w:rPr>
                <w:sz w:val="21"/>
              </w:rPr>
              <w:t>3.中标供应商须在签订合同前向采购人提交业务交接方案。业务交接方案经采购人确认后，在合同签订生效之日起5个工作日内完成全部交接工作并进场开展工作。</w:t>
            </w:r>
          </w:p>
          <w:p>
            <w:pPr>
              <w:jc w:val="left"/>
            </w:pPr>
            <w:r>
              <w:rPr>
                <w:sz w:val="21"/>
              </w:rPr>
              <w:t>4.采购人将对中标供应商开展月度质量考评和运营成本控制奖罚考评，考评由采购人有关职能管理部门负责实施。</w:t>
            </w:r>
          </w:p>
          <w:p>
            <w:pPr>
              <w:jc w:val="left"/>
            </w:pPr>
            <w:r>
              <w:rPr>
                <w:sz w:val="21"/>
              </w:rPr>
              <w:t xml:space="preserve">    </w:t>
            </w:r>
            <w:r>
              <w:rPr>
                <w:sz w:val="21"/>
              </w:rPr>
              <w:t>月度质量考核实施办法：中标供应商月度综合考评结果＜</w:t>
            </w:r>
            <w:r>
              <w:rPr>
                <w:sz w:val="21"/>
              </w:rPr>
              <w:t>75分，采购人除提出警告及由中标供应商提交整改报告外，考评当月的服务费按当月核定费用*（1-5%） 结算；若当月考评结果＜70分，除提出警告及由中标供应商提交整改报告外，考评当月服务费按当月核定费用*（1-10%）结算；若当月考评结果＜60分，除提出警告及由中标供应商提交整改报告外，考评当月服务费按当月核定费用*（1-15%）结算；如月度考评连续两月＜60分，采购人除按约定扣减服务费外，有权单方终止合同，责令中标供应商限期无条件撤场。</w:t>
            </w:r>
          </w:p>
          <w:p>
            <w:pPr>
              <w:ind w:firstLine="420"/>
              <w:jc w:val="both"/>
            </w:pPr>
            <w:r>
              <w:rPr>
                <w:sz w:val="21"/>
              </w:rPr>
              <w:t>月度运营成本管控奖罚考评实施办法：采购人将每月食材、易耗品及水电费（此部分费用均为采购人支付费用）占销售额（中标人每月根据采购人提供的食材进行加工形成餐饮成品并通过食堂销售的总金额）比例基准值定为</w:t>
            </w:r>
            <w:r>
              <w:rPr>
                <w:sz w:val="21"/>
              </w:rPr>
              <w:t>78.5%，采购人食堂当月食材、易耗品及水电费发生额占比＞80%时，采购人按超出80%占比部分金额的50%扣减中标供应商当月服务费；如当月食堂职工及患者服务满意度统计均值≥80%，且当月采购人食材、易耗品及水电费发生额占销售额比例＜77%时，采购人按低于77%占比部分节余金额的50%奖励中标供应商，并在当月服务费结算时兑现。月度成本管控奖罚考评办法春节当月暂不实施。</w:t>
            </w:r>
          </w:p>
          <w:p>
            <w:pPr>
              <w:ind w:firstLine="420"/>
              <w:jc w:val="both"/>
            </w:pPr>
            <w:r>
              <w:rPr>
                <w:sz w:val="21"/>
              </w:rPr>
              <w:t>以上质量考核和成本管控考核办法实施每满一年应进行回顾，成本管控考核办法如遇食材、易耗品市场价格异常波动等特殊情形时，经一方提出、双方协商议定后，可予以修改调整。</w:t>
            </w:r>
          </w:p>
          <w:p>
            <w:pPr>
              <w:jc w:val="left"/>
            </w:pPr>
            <w:r>
              <w:rPr>
                <w:sz w:val="21"/>
              </w:rPr>
              <w:t>5.违约责任</w:t>
            </w:r>
          </w:p>
          <w:p>
            <w:pPr>
              <w:jc w:val="left"/>
            </w:pPr>
            <w:r>
              <w:rPr>
                <w:sz w:val="21"/>
              </w:rPr>
              <w:t>（</w:t>
            </w:r>
            <w:r>
              <w:rPr>
                <w:sz w:val="21"/>
              </w:rPr>
              <w:t>1）中标供应商未能按采购人及合同服务要求落实相关服务工作的，采购人有权视乎情节严重程度决定是否解除合同。</w:t>
            </w:r>
          </w:p>
          <w:p>
            <w:pPr>
              <w:jc w:val="left"/>
            </w:pPr>
            <w:r>
              <w:rPr>
                <w:sz w:val="21"/>
              </w:rPr>
              <w:t>（</w:t>
            </w:r>
            <w:r>
              <w:rPr>
                <w:sz w:val="21"/>
              </w:rPr>
              <w:t>2）若因中标供应商未履行本合同约定的义务造成采购人向第三人承担赔偿责任的，该赔偿责任由中标供应商代为承担。中标供应商拒不承担的，采购人有权在应当支付给中标供应商的费用中抵扣。</w:t>
            </w:r>
          </w:p>
          <w:p>
            <w:pPr>
              <w:jc w:val="left"/>
            </w:pPr>
            <w:r>
              <w:rPr>
                <w:sz w:val="21"/>
              </w:rPr>
              <w:t>（</w:t>
            </w:r>
            <w:r>
              <w:rPr>
                <w:sz w:val="21"/>
              </w:rPr>
              <w:t>3）如按照上述方式解除合同后，中标供应商应当另行</w:t>
            </w:r>
            <w:r>
              <w:rPr>
                <w:sz w:val="21"/>
              </w:rPr>
              <w:t>按解除合同当月管理服务费</w:t>
            </w:r>
            <w:r>
              <w:rPr>
                <w:sz w:val="21"/>
              </w:rPr>
              <w:t>的双倍向采购人支付违约金，并赔偿因此而带来的额外损失。</w:t>
            </w:r>
          </w:p>
          <w:p>
            <w:pPr>
              <w:jc w:val="both"/>
            </w:pPr>
            <w:r>
              <w:rPr>
                <w:b/>
                <w:sz w:val="21"/>
              </w:rPr>
              <w:t>四、</w:t>
            </w:r>
            <w:r>
              <w:rPr>
                <w:b/>
                <w:sz w:val="21"/>
              </w:rPr>
              <w:t>投标人应标要求</w:t>
            </w:r>
          </w:p>
          <w:p>
            <w:pPr>
              <w:jc w:val="left"/>
            </w:pPr>
            <w:r>
              <w:rPr>
                <w:sz w:val="21"/>
              </w:rPr>
              <w:t>★</w:t>
            </w:r>
            <w:r>
              <w:rPr>
                <w:sz w:val="21"/>
              </w:rPr>
              <w:t>1.须严格执行国家及各级行业主管部门/机构颁行的行业法规、标准、规范。（提供承诺函）</w:t>
            </w:r>
          </w:p>
          <w:p>
            <w:pPr>
              <w:ind w:firstLine="210"/>
              <w:jc w:val="left"/>
            </w:pPr>
            <w:r>
              <w:rPr>
                <w:sz w:val="21"/>
              </w:rPr>
              <w:t>★</w:t>
            </w:r>
            <w:r>
              <w:rPr>
                <w:sz w:val="21"/>
              </w:rPr>
              <w:t>2.须具备良好的食品加工及</w:t>
            </w:r>
            <w:r>
              <w:rPr>
                <w:sz w:val="21"/>
              </w:rPr>
              <w:t>配送</w:t>
            </w:r>
            <w:r>
              <w:rPr>
                <w:sz w:val="21"/>
              </w:rPr>
              <w:t>能力，在项目所在地设有自营中央厨房</w:t>
            </w:r>
            <w:r>
              <w:rPr>
                <w:sz w:val="21"/>
              </w:rPr>
              <w:t>（提供自营的场地房产证明或租赁合同证明文件）</w:t>
            </w:r>
            <w:r>
              <w:rPr>
                <w:sz w:val="21"/>
              </w:rPr>
              <w:t>或承诺中标后在项目所在地设有自营中央厨房，以保证采购人食堂在突发情况无法供餐期间的正常餐饮供应需求（提供承诺函）。</w:t>
            </w:r>
          </w:p>
          <w:p>
            <w:pPr>
              <w:ind w:firstLine="210"/>
              <w:jc w:val="left"/>
            </w:pPr>
            <w:r>
              <w:rPr>
                <w:sz w:val="21"/>
              </w:rPr>
              <w:t>★</w:t>
            </w:r>
            <w:r>
              <w:rPr>
                <w:sz w:val="21"/>
              </w:rPr>
              <w:t>3.投标人如获中标资格，不得以任何形式将本项目的管理分包或转包给第三方，中标供应商如有违反或损害采购人利益的，采购人有权终止与中标供应商签订的服务合同。（提供承诺函）</w:t>
            </w:r>
          </w:p>
          <w:p>
            <w:pPr>
              <w:jc w:val="both"/>
            </w:pPr>
            <w:r>
              <w:rPr>
                <w:b/>
                <w:sz w:val="21"/>
              </w:rPr>
              <w:t>五、</w:t>
            </w:r>
            <w:r>
              <w:rPr>
                <w:b/>
                <w:sz w:val="21"/>
              </w:rPr>
              <w:t>委托服务内容</w:t>
            </w:r>
          </w:p>
          <w:p>
            <w:pPr>
              <w:jc w:val="left"/>
            </w:pPr>
            <w:r>
              <w:rPr>
                <w:sz w:val="21"/>
              </w:rPr>
              <w:t>（一）项目概况：</w:t>
            </w:r>
          </w:p>
          <w:p>
            <w:pPr>
              <w:jc w:val="left"/>
            </w:pPr>
            <w:r>
              <w:rPr>
                <w:sz w:val="21"/>
              </w:rPr>
              <w:t>1.此次采购人的饭堂承包经营项目通过公开招标确定服务管理单位，对采购人（职工及病员）综合食堂进行服务运营及管理，其中职工大部分在食堂内集中用餐，病员大部分采取手机订餐、送餐至病房。中标供应商在食堂后厨完成烹调制作后，需同步提供职工餐大堂自选式售卖服务和各病区订餐病员配、送餐服务，以及按需提供围餐、</w:t>
            </w:r>
            <w:r>
              <w:rPr>
                <w:sz w:val="21"/>
              </w:rPr>
              <w:t>特殊饮食</w:t>
            </w:r>
            <w:r>
              <w:rPr>
                <w:sz w:val="21"/>
              </w:rPr>
              <w:t>制作配送、会务及工作餐配送、突发事件或紧急状况时的应急供餐服务配送等服务。</w:t>
            </w:r>
          </w:p>
          <w:p>
            <w:pPr>
              <w:jc w:val="left"/>
            </w:pPr>
            <w:r>
              <w:rPr>
                <w:sz w:val="21"/>
              </w:rPr>
              <w:t xml:space="preserve">2.项目地点：广州市白云区启德路 68 号。  </w:t>
            </w:r>
          </w:p>
          <w:p>
            <w:pPr>
              <w:jc w:val="left"/>
            </w:pPr>
            <w:r>
              <w:rPr>
                <w:sz w:val="21"/>
              </w:rPr>
              <w:t>3.本食堂项目供餐需求相关参考数据：目前采购人广州院区在职员工约 600 人，日均住院病人约 600 人，其它在院人员约 400 人，食堂日常用餐的职工、病人、家属等总人数约 1500人；职工购餐（早、午、晚餐）合计约26000人（餐）次/月，病员及其他人员购餐（早、午、晚餐）合计约30000人（餐）次/月。</w:t>
            </w:r>
          </w:p>
          <w:p>
            <w:pPr>
              <w:jc w:val="left"/>
            </w:pPr>
            <w:r>
              <w:rPr>
                <w:sz w:val="21"/>
              </w:rPr>
              <w:t>（二）招标服务要求：</w:t>
            </w:r>
          </w:p>
          <w:p>
            <w:pPr>
              <w:jc w:val="left"/>
            </w:pPr>
            <w:r>
              <w:rPr>
                <w:sz w:val="21"/>
              </w:rPr>
              <w:t>1.中标供应商须负责配餐食材的制作加工，负责早餐、午餐、晚餐的烹调制作，包括但不限于特殊饮食、烧腊餐、煲仔饭等风味套餐、汤粉面特色餐品供应，订餐售餐、饭堂现场服务与管理，病人餐食配送到病房、会务工作餐按需配送及不定期正式围餐服务；餐具和环境的清洁与消毒（含除四害）、菜单的制定及定期更换、在线订餐售餐系统日常操作维护、新菜式的研发、设备设施的维护保养、厨余垃圾及时合法清运、排烟罩定期清理、排污管道按需清理、相关服务人员的配备与管理并确保员工关系和谐、指导食材采购、食物成品加工制作、食品安全把控以及协助做好消防安全工作等，中标供应商须按照采购人的要求控制好营业成本并保证菜肴质量以及服务水平；每月征求就餐人员对菜品质量的意见，并按照月度考评要求及时改善。</w:t>
            </w:r>
          </w:p>
          <w:p>
            <w:pPr>
              <w:jc w:val="left"/>
            </w:pPr>
            <w:r>
              <w:rPr>
                <w:sz w:val="21"/>
              </w:rPr>
              <w:t>2.采购人提供相关场地及水、电、气等基础条件，现有厨房的设施设备，并承担食堂运营</w:t>
            </w:r>
            <w:r>
              <w:rPr>
                <w:sz w:val="21"/>
              </w:rPr>
              <w:t>所需食材、水、</w:t>
            </w:r>
            <w:r>
              <w:rPr>
                <w:sz w:val="21"/>
              </w:rPr>
              <w:t>电、气费，大型设备设施及消防设施添置费，食堂当值工作人员的工作餐、食材、粮油、调味品、一次性餐具餐盒、洗消药剂、餐巾纸、牙签、打包袋，以及按约定非由中标供应商承担的设备维修添置费。中标供应商必须合理、规范使用采购人提供的设备、设施和物资，如有丢失、浪费等非正常损耗，中标供应商需按实赔偿。采购人为中标供应商提供的食堂各种厨房用具和设备（以签订合同时清点的种类和数量为准）为采购人资产，双方清点造册后交中标供应商管理、使用，服务期满中标供应商不能带走。</w:t>
            </w:r>
          </w:p>
          <w:p>
            <w:pPr>
              <w:jc w:val="left"/>
            </w:pPr>
            <w:r>
              <w:rPr>
                <w:sz w:val="21"/>
              </w:rPr>
              <w:t>3.现有厨房作业间布置合理，有完整的厨具、冷藏和加工设备，抽排烟系统效果良好，照明采光良好，可以正常运作供应膳食。并有办公场所及仓库，但不提供员工住宿。</w:t>
            </w:r>
          </w:p>
          <w:p>
            <w:pPr>
              <w:jc w:val="left"/>
            </w:pPr>
            <w:r>
              <w:rPr>
                <w:sz w:val="21"/>
              </w:rPr>
              <w:t>4.营业时间：周一至周日：上午 7:00-8:30，中午 11:30-13:00，晚上：17:15-18:30；若遇国家规定节假日或采购人服务需要调整，依照国家规定和采购人的工作安排相应调整。请投标人根据自身从业经验，自行核算工作日早、中、晚餐次供餐量，节假日的早、中、晚餐供应，可根据采购人的排班情况灵活调整，中标供应商须按采购人的实际就餐人数安排餐食，科学制定供餐计划，帮助采购人有效控制饭堂运营成本。</w:t>
            </w:r>
          </w:p>
          <w:p>
            <w:pPr>
              <w:jc w:val="left"/>
            </w:pPr>
            <w:r>
              <w:rPr>
                <w:sz w:val="21"/>
              </w:rPr>
              <w:t>（三）服务人员配置：</w:t>
            </w:r>
          </w:p>
          <w:p>
            <w:pPr>
              <w:jc w:val="left"/>
            </w:pPr>
            <w:r>
              <w:rPr>
                <w:sz w:val="21"/>
              </w:rPr>
              <w:t xml:space="preserve">   </w:t>
            </w:r>
            <w:r>
              <w:rPr>
                <w:sz w:val="21"/>
              </w:rPr>
              <w:t>1.投标人需全面满足采购人对食堂人员岗位配置要求（详见下表《人员配置表》）。</w:t>
            </w:r>
          </w:p>
          <w:p>
            <w:pPr>
              <w:jc w:val="center"/>
            </w:pPr>
            <w:r>
              <w:rPr>
                <w:b/>
                <w:sz w:val="21"/>
              </w:rPr>
              <w:t>人员配置表</w:t>
            </w:r>
          </w:p>
          <w:tbl>
            <w:tblPr>
              <w:tblBorders>
                <w:top w:val="none" w:color="000000" w:sz="4"/>
                <w:left w:val="none" w:color="000000" w:sz="4"/>
                <w:bottom w:val="none" w:color="000000" w:sz="4"/>
                <w:right w:val="none" w:color="000000" w:sz="4"/>
                <w:insideH w:val="none"/>
                <w:insideV w:val="none"/>
              </w:tblBorders>
            </w:tblPr>
            <w:tblGrid>
              <w:gridCol w:w="650"/>
              <w:gridCol w:w="1347"/>
              <w:gridCol w:w="1054"/>
              <w:gridCol w:w="2545"/>
            </w:tblGrid>
            <w:tr>
              <w:tc>
                <w:tcPr>
                  <w:tcW w:type="dxa" w:w="650"/>
                  <w:tcBorders>
                    <w:top w:val="single" w:color="000000" w:sz="8"/>
                    <w:left w:val="single" w:color="000000" w:sz="8"/>
                    <w:bottom w:val="single" w:color="000000" w:sz="4"/>
                    <w:right w:val="single" w:color="000000" w:sz="4"/>
                  </w:tcBorders>
                  <w:vAlign w:val="top"/>
                </w:tcPr>
                <w:p>
                  <w:pPr>
                    <w:jc w:val="center"/>
                  </w:pPr>
                  <w:r>
                    <w:rPr>
                      <w:sz w:val="21"/>
                    </w:rPr>
                    <w:t>序号</w:t>
                  </w:r>
                </w:p>
              </w:tc>
              <w:tc>
                <w:tcPr>
                  <w:tcW w:type="dxa" w:w="1347"/>
                  <w:tcBorders>
                    <w:top w:val="single" w:color="000000" w:sz="8"/>
                    <w:left w:val="single" w:color="000000" w:sz="4"/>
                    <w:bottom w:val="single" w:color="000000" w:sz="4"/>
                    <w:right w:val="single" w:color="000000" w:sz="4"/>
                  </w:tcBorders>
                  <w:vAlign w:val="top"/>
                </w:tcPr>
                <w:p>
                  <w:pPr>
                    <w:jc w:val="center"/>
                  </w:pPr>
                  <w:r>
                    <w:rPr>
                      <w:sz w:val="21"/>
                    </w:rPr>
                    <w:t>岗位名称</w:t>
                  </w:r>
                </w:p>
              </w:tc>
              <w:tc>
                <w:tcPr>
                  <w:tcW w:type="dxa" w:w="1054"/>
                  <w:tcBorders>
                    <w:top w:val="single" w:color="000000" w:sz="8"/>
                    <w:left w:val="single" w:color="000000" w:sz="4"/>
                    <w:bottom w:val="single" w:color="000000" w:sz="4"/>
                    <w:right w:val="single" w:color="000000" w:sz="4"/>
                  </w:tcBorders>
                  <w:vAlign w:val="top"/>
                </w:tcPr>
                <w:p>
                  <w:pPr>
                    <w:jc w:val="center"/>
                  </w:pPr>
                  <w:r>
                    <w:rPr>
                      <w:sz w:val="21"/>
                    </w:rPr>
                    <w:t>岗位人数</w:t>
                  </w:r>
                </w:p>
              </w:tc>
              <w:tc>
                <w:tcPr>
                  <w:tcW w:type="dxa" w:w="2545"/>
                  <w:tcBorders>
                    <w:top w:val="single" w:color="000000" w:sz="8"/>
                    <w:left w:val="single" w:color="000000" w:sz="4"/>
                    <w:bottom w:val="single" w:color="000000" w:sz="4"/>
                    <w:right w:val="single" w:color="000000" w:sz="8"/>
                  </w:tcBorders>
                  <w:vAlign w:val="top"/>
                </w:tcPr>
                <w:p>
                  <w:pPr>
                    <w:jc w:val="center"/>
                  </w:pPr>
                  <w:r>
                    <w:rPr>
                      <w:sz w:val="21"/>
                    </w:rPr>
                    <w:t>备注</w:t>
                  </w: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1</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分店经理</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1人</w:t>
                  </w:r>
                </w:p>
              </w:tc>
              <w:tc>
                <w:tcPr>
                  <w:tcW w:type="dxa" w:w="2545"/>
                  <w:tcBorders>
                    <w:top w:val="single" w:color="000000" w:sz="4"/>
                    <w:left w:val="single" w:color="000000" w:sz="4"/>
                    <w:bottom w:val="single" w:color="000000" w:sz="4"/>
                    <w:right w:val="single" w:color="000000" w:sz="8"/>
                  </w:tcBorders>
                  <w:vAlign w:val="top"/>
                </w:tcPr>
                <w:p>
                  <w:pPr>
                    <w:jc w:val="center"/>
                  </w:pP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厨师长</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1人</w:t>
                  </w:r>
                </w:p>
              </w:tc>
              <w:tc>
                <w:tcPr>
                  <w:tcW w:type="dxa" w:w="2545"/>
                  <w:vMerge w:val="restart"/>
                  <w:tcBorders>
                    <w:top w:val="single" w:color="000000" w:sz="4"/>
                    <w:left w:val="single" w:color="000000" w:sz="4"/>
                    <w:bottom w:val="single" w:color="000000" w:sz="4"/>
                    <w:right w:val="single" w:color="000000" w:sz="8"/>
                  </w:tcBorders>
                  <w:vAlign w:val="top"/>
                </w:tcPr>
                <w:p>
                  <w:pPr>
                    <w:jc w:val="left"/>
                  </w:pPr>
                  <w:r>
                    <w:rPr>
                      <w:sz w:val="21"/>
                    </w:rPr>
                    <w:t>含食堂团餐、接待宴席、烧腊特色餐、拉面或汤粉面的制作供餐</w:t>
                  </w: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3</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厨师</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5人</w:t>
                  </w: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4</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点心师傅</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1人</w:t>
                  </w:r>
                </w:p>
              </w:tc>
              <w:tc>
                <w:tcPr>
                  <w:tcW w:type="dxa" w:w="2545"/>
                  <w:tcBorders>
                    <w:top w:val="single" w:color="000000" w:sz="4"/>
                    <w:left w:val="single" w:color="000000" w:sz="4"/>
                    <w:bottom w:val="single" w:color="000000" w:sz="4"/>
                    <w:right w:val="single" w:color="000000" w:sz="8"/>
                  </w:tcBorders>
                  <w:vAlign w:val="top"/>
                </w:tcPr>
                <w:p>
                  <w:pPr>
                    <w:jc w:val="center"/>
                  </w:pP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5</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面点师</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1人</w:t>
                  </w:r>
                </w:p>
              </w:tc>
              <w:tc>
                <w:tcPr>
                  <w:tcW w:type="dxa" w:w="2545"/>
                  <w:tcBorders>
                    <w:top w:val="single" w:color="000000" w:sz="4"/>
                    <w:left w:val="single" w:color="000000" w:sz="4"/>
                    <w:bottom w:val="single" w:color="000000" w:sz="4"/>
                    <w:right w:val="single" w:color="000000" w:sz="8"/>
                  </w:tcBorders>
                  <w:vAlign w:val="top"/>
                </w:tcPr>
                <w:p>
                  <w:pPr>
                    <w:jc w:val="center"/>
                  </w:pP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6</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助厨</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6人</w:t>
                  </w:r>
                </w:p>
              </w:tc>
              <w:tc>
                <w:tcPr>
                  <w:tcW w:type="dxa" w:w="2545"/>
                  <w:tcBorders>
                    <w:top w:val="single" w:color="000000" w:sz="4"/>
                    <w:left w:val="single" w:color="000000" w:sz="4"/>
                    <w:bottom w:val="single" w:color="000000" w:sz="4"/>
                    <w:right w:val="single" w:color="000000" w:sz="8"/>
                  </w:tcBorders>
                  <w:vAlign w:val="top"/>
                </w:tcPr>
                <w:p>
                  <w:pPr>
                    <w:jc w:val="center"/>
                  </w:pP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7</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白案助理</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2人</w:t>
                  </w:r>
                </w:p>
              </w:tc>
              <w:tc>
                <w:tcPr>
                  <w:tcW w:type="dxa" w:w="2545"/>
                  <w:tcBorders>
                    <w:top w:val="single" w:color="000000" w:sz="4"/>
                    <w:left w:val="single" w:color="000000" w:sz="4"/>
                    <w:bottom w:val="single" w:color="000000" w:sz="4"/>
                    <w:right w:val="single" w:color="000000" w:sz="8"/>
                  </w:tcBorders>
                  <w:vAlign w:val="top"/>
                </w:tcPr>
                <w:p>
                  <w:pPr>
                    <w:jc w:val="center"/>
                  </w:pP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8</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客服主管</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2人</w:t>
                  </w:r>
                </w:p>
              </w:tc>
              <w:tc>
                <w:tcPr>
                  <w:tcW w:type="dxa" w:w="2545"/>
                  <w:tcBorders>
                    <w:top w:val="single" w:color="000000" w:sz="4"/>
                    <w:left w:val="single" w:color="000000" w:sz="4"/>
                    <w:bottom w:val="single" w:color="000000" w:sz="4"/>
                    <w:right w:val="single" w:color="000000" w:sz="8"/>
                  </w:tcBorders>
                  <w:vAlign w:val="top"/>
                </w:tcPr>
                <w:p>
                  <w:pPr>
                    <w:jc w:val="center"/>
                  </w:pPr>
                  <w:r>
                    <w:rPr>
                      <w:sz w:val="21"/>
                    </w:rPr>
                    <w:t>分理堂食及病员订送餐服务事项</w:t>
                  </w: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9</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服务员</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9人</w:t>
                  </w:r>
                </w:p>
              </w:tc>
              <w:tc>
                <w:tcPr>
                  <w:tcW w:type="dxa" w:w="2545"/>
                  <w:tcBorders>
                    <w:top w:val="single" w:color="000000" w:sz="4"/>
                    <w:left w:val="single" w:color="000000" w:sz="4"/>
                    <w:bottom w:val="single" w:color="000000" w:sz="4"/>
                    <w:right w:val="single" w:color="000000" w:sz="8"/>
                  </w:tcBorders>
                  <w:vAlign w:val="top"/>
                </w:tcPr>
                <w:p>
                  <w:pPr>
                    <w:jc w:val="center"/>
                  </w:pPr>
                  <w:r>
                    <w:rPr>
                      <w:sz w:val="21"/>
                    </w:rPr>
                    <w:t>含配餐、售餐、订送餐等综合服务</w:t>
                  </w:r>
                </w:p>
              </w:tc>
            </w:tr>
            <w:tr>
              <w:tc>
                <w:tcPr>
                  <w:tcW w:type="dxa" w:w="650"/>
                  <w:tcBorders>
                    <w:top w:val="single" w:color="000000" w:sz="4"/>
                    <w:left w:val="single" w:color="000000" w:sz="8"/>
                    <w:bottom w:val="single" w:color="000000" w:sz="4"/>
                    <w:right w:val="single" w:color="000000" w:sz="4"/>
                  </w:tcBorders>
                  <w:vAlign w:val="top"/>
                </w:tcPr>
                <w:p>
                  <w:pPr>
                    <w:jc w:val="center"/>
                  </w:pPr>
                  <w:r>
                    <w:rPr>
                      <w:sz w:val="21"/>
                    </w:rPr>
                    <w:t>10</w:t>
                  </w:r>
                </w:p>
              </w:tc>
              <w:tc>
                <w:tcPr>
                  <w:tcW w:type="dxa" w:w="1347"/>
                  <w:tcBorders>
                    <w:top w:val="single" w:color="000000" w:sz="4"/>
                    <w:left w:val="single" w:color="000000" w:sz="4"/>
                    <w:bottom w:val="single" w:color="000000" w:sz="4"/>
                    <w:right w:val="single" w:color="000000" w:sz="4"/>
                  </w:tcBorders>
                  <w:vAlign w:val="top"/>
                </w:tcPr>
                <w:p>
                  <w:pPr>
                    <w:jc w:val="center"/>
                  </w:pPr>
                  <w:r>
                    <w:rPr>
                      <w:sz w:val="21"/>
                    </w:rPr>
                    <w:t>清洁员</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3人</w:t>
                  </w:r>
                </w:p>
              </w:tc>
              <w:tc>
                <w:tcPr>
                  <w:tcW w:type="dxa" w:w="2545"/>
                  <w:tcBorders>
                    <w:top w:val="single" w:color="000000" w:sz="4"/>
                    <w:left w:val="single" w:color="000000" w:sz="4"/>
                    <w:bottom w:val="single" w:color="000000" w:sz="4"/>
                    <w:right w:val="single" w:color="000000" w:sz="8"/>
                  </w:tcBorders>
                  <w:vAlign w:val="top"/>
                </w:tcPr>
                <w:p>
                  <w:pPr>
                    <w:jc w:val="center"/>
                  </w:pPr>
                  <w:r>
                    <w:rPr>
                      <w:sz w:val="21"/>
                    </w:rPr>
                    <w:t>餐具清洗消毒及环境保洁事务</w:t>
                  </w:r>
                </w:p>
              </w:tc>
            </w:tr>
            <w:tr>
              <w:tc>
                <w:tcPr>
                  <w:tcW w:type="dxa" w:w="650"/>
                  <w:tcBorders>
                    <w:top w:val="single" w:color="000000" w:sz="4"/>
                    <w:left w:val="single" w:color="000000" w:sz="8"/>
                    <w:bottom w:val="single" w:color="000000" w:sz="8"/>
                    <w:right w:val="single" w:color="000000" w:sz="4"/>
                  </w:tcBorders>
                  <w:vAlign w:val="top"/>
                </w:tcPr>
                <w:p>
                  <w:pPr>
                    <w:jc w:val="center"/>
                  </w:pPr>
                  <w:r>
                    <w:rPr>
                      <w:sz w:val="21"/>
                    </w:rPr>
                    <w:t>11</w:t>
                  </w:r>
                </w:p>
              </w:tc>
              <w:tc>
                <w:tcPr>
                  <w:tcW w:type="dxa" w:w="1347"/>
                  <w:tcBorders>
                    <w:top w:val="single" w:color="000000" w:sz="4"/>
                    <w:left w:val="single" w:color="000000" w:sz="4"/>
                    <w:bottom w:val="single" w:color="000000" w:sz="8"/>
                    <w:right w:val="single" w:color="000000" w:sz="4"/>
                  </w:tcBorders>
                  <w:vAlign w:val="top"/>
                </w:tcPr>
                <w:p>
                  <w:pPr>
                    <w:jc w:val="center"/>
                  </w:pPr>
                  <w:r>
                    <w:rPr>
                      <w:sz w:val="21"/>
                    </w:rPr>
                    <w:t>合计人数</w:t>
                  </w:r>
                </w:p>
              </w:tc>
              <w:tc>
                <w:tcPr>
                  <w:tcW w:type="dxa" w:w="1054"/>
                  <w:tcBorders>
                    <w:top w:val="single" w:color="000000" w:sz="4"/>
                    <w:left w:val="single" w:color="000000" w:sz="4"/>
                    <w:bottom w:val="single" w:color="000000" w:sz="8"/>
                    <w:right w:val="single" w:color="000000" w:sz="4"/>
                  </w:tcBorders>
                  <w:vAlign w:val="top"/>
                </w:tcPr>
                <w:p>
                  <w:pPr>
                    <w:jc w:val="center"/>
                  </w:pPr>
                  <w:r>
                    <w:rPr>
                      <w:sz w:val="21"/>
                    </w:rPr>
                    <w:t>31人</w:t>
                  </w:r>
                </w:p>
              </w:tc>
              <w:tc>
                <w:tcPr>
                  <w:tcW w:type="dxa" w:w="2545"/>
                  <w:tcBorders>
                    <w:top w:val="single" w:color="000000" w:sz="4"/>
                    <w:left w:val="single" w:color="000000" w:sz="4"/>
                    <w:bottom w:val="single" w:color="000000" w:sz="8"/>
                    <w:right w:val="single" w:color="000000" w:sz="8"/>
                  </w:tcBorders>
                  <w:vAlign w:val="top"/>
                </w:tcPr>
                <w:p>
                  <w:pPr>
                    <w:jc w:val="center"/>
                  </w:pPr>
                </w:p>
              </w:tc>
            </w:tr>
          </w:tbl>
          <w:p>
            <w:pPr>
              <w:jc w:val="left"/>
            </w:pPr>
            <w:r>
              <w:rPr>
                <w:sz w:val="21"/>
              </w:rPr>
              <w:t>注：</w:t>
            </w:r>
            <w:r>
              <w:rPr>
                <w:sz w:val="21"/>
              </w:rPr>
              <w:t>以上工作人员须按实际出勤（打卡）记录，如未全勤，则当月服务费须按实扣减相应费用。</w:t>
            </w:r>
          </w:p>
          <w:p>
            <w:pPr>
              <w:jc w:val="left"/>
            </w:pPr>
            <w:r>
              <w:rPr>
                <w:sz w:val="21"/>
              </w:rPr>
              <w:t xml:space="preserve">  </w:t>
            </w:r>
            <w:r>
              <w:rPr>
                <w:sz w:val="21"/>
              </w:rPr>
              <w:t>2.招标服务期内，采购人可根据食堂就餐人员、需求变化对服务岗位、人数进行合理调整；中标供应商须全面响应和配合采购人在用餐人数、设备场地、供餐模式等方面的需求变化和调整。</w:t>
            </w:r>
          </w:p>
          <w:p>
            <w:pPr>
              <w:jc w:val="left"/>
            </w:pPr>
            <w:r>
              <w:rPr>
                <w:sz w:val="21"/>
              </w:rPr>
              <w:t>3.服务人员要求：</w:t>
            </w:r>
          </w:p>
          <w:p>
            <w:pPr>
              <w:jc w:val="left"/>
            </w:pPr>
            <w:r>
              <w:rPr>
                <w:sz w:val="21"/>
              </w:rPr>
              <w:t>（</w:t>
            </w:r>
            <w:r>
              <w:rPr>
                <w:sz w:val="21"/>
              </w:rPr>
              <w:t>1）各岗位人员均需具有 2 年或以上的工作经验，要求每位厨房服务人员在投入本项目服务前须取得健康证，具备良好的身体素质和思想道德，分店经</w:t>
            </w:r>
            <w:r>
              <w:rPr>
                <w:sz w:val="21"/>
              </w:rPr>
              <w:t>理及客服主管须具备客餐规范服务及电脑订餐系统熟练操作技能，厨师、面点师、点心师傅须持中级或以上厨师证上岗，其余助厨须持初级或以上厨师证上岗。</w:t>
            </w:r>
            <w:r>
              <w:rPr>
                <w:sz w:val="21"/>
              </w:rPr>
              <w:t>分店</w:t>
            </w:r>
            <w:r>
              <w:rPr>
                <w:sz w:val="21"/>
              </w:rPr>
              <w:t>经理、厨师、客服主管等主要管理及技术岗位人员任用和变更须经</w:t>
            </w:r>
            <w:r>
              <w:rPr>
                <w:sz w:val="21"/>
              </w:rPr>
              <w:t>采购人审核同意，投标人拟派本项目的所有服务人员在经采购人确定后，不得随意</w:t>
            </w:r>
            <w:r>
              <w:rPr>
                <w:sz w:val="21"/>
              </w:rPr>
              <w:t>更换，如确需更换的，中标供应商须提前</w:t>
            </w:r>
            <w:r>
              <w:rPr>
                <w:sz w:val="21"/>
              </w:rPr>
              <w:t>1 个月向采购人提出书面申请，经采购人同意后方可调换。</w:t>
            </w:r>
          </w:p>
          <w:p>
            <w:pPr>
              <w:jc w:val="left"/>
            </w:pPr>
            <w:r>
              <w:rPr>
                <w:sz w:val="21"/>
              </w:rPr>
              <w:t>（</w:t>
            </w:r>
            <w:r>
              <w:rPr>
                <w:sz w:val="21"/>
              </w:rPr>
              <w:t>2）中标供应商驻场管理者（驻场</w:t>
            </w:r>
            <w:r>
              <w:rPr>
                <w:sz w:val="21"/>
              </w:rPr>
              <w:t>分店经理</w:t>
            </w:r>
            <w:r>
              <w:rPr>
                <w:sz w:val="21"/>
              </w:rPr>
              <w:t>）负责对日常综合服</w:t>
            </w:r>
            <w:r>
              <w:rPr>
                <w:sz w:val="21"/>
              </w:rPr>
              <w:t>务工作进行计划、安排、检查等日常管理工作，负责与采购人管理人员沟通联系，及时解决工作中出现的问题。</w:t>
            </w:r>
          </w:p>
          <w:p>
            <w:pPr>
              <w:jc w:val="left"/>
            </w:pPr>
            <w:r>
              <w:rPr>
                <w:sz w:val="21"/>
              </w:rPr>
              <w:t xml:space="preserve">   </w:t>
            </w:r>
            <w:r>
              <w:rPr>
                <w:sz w:val="21"/>
              </w:rPr>
              <w:t>（</w:t>
            </w:r>
            <w:r>
              <w:rPr>
                <w:sz w:val="21"/>
              </w:rPr>
              <w:t>3）中标供应商须按《中华人民共和国劳动合同法》（中华人民共和国主席令第六十五号）的规定，负责拟派本项目所有服务人员的工资、福利和社会养老、医疗、工伤、失业等费用，上述服务人员与采购人不存在任何劳动关系，所有用工管理义务和责任均由中标供应商承担，若发生工伤事故、劳动争议等均由中标供应商自行负责，采购人不承担任何连带关系和责任；如发生违反计划生育规定的，由中标供应商自行解决并承担所有责任，采购人不承担任何连带关系和责任；如中标供应商所属员工有不当、不法行为导致采购人或第三方生命、财产或名誉损失，由中标供应商承担全部经济、法律责任并及时采取措施消除不良影响。</w:t>
            </w:r>
          </w:p>
          <w:p>
            <w:pPr>
              <w:jc w:val="both"/>
            </w:pPr>
            <w:r>
              <w:rPr>
                <w:b/>
                <w:sz w:val="21"/>
              </w:rPr>
              <w:t>六、服务</w:t>
            </w:r>
            <w:r>
              <w:rPr>
                <w:b/>
                <w:sz w:val="21"/>
              </w:rPr>
              <w:t>标准</w:t>
            </w:r>
            <w:r>
              <w:rPr>
                <w:b/>
                <w:sz w:val="21"/>
              </w:rPr>
              <w:t>要求</w:t>
            </w:r>
          </w:p>
          <w:p>
            <w:pPr>
              <w:jc w:val="left"/>
            </w:pPr>
            <w:r>
              <w:rPr>
                <w:sz w:val="21"/>
              </w:rPr>
              <w:t>（一）总体要求：中标供应商须严格遵照国家相关食品安全卫生法则提供优质服务。</w:t>
            </w:r>
          </w:p>
          <w:p>
            <w:pPr>
              <w:jc w:val="left"/>
            </w:pPr>
            <w:r>
              <w:rPr>
                <w:sz w:val="21"/>
              </w:rPr>
              <w:t>（二）服务规范要求：</w:t>
            </w:r>
          </w:p>
          <w:p>
            <w:pPr>
              <w:jc w:val="left"/>
            </w:pPr>
            <w:r>
              <w:rPr>
                <w:sz w:val="21"/>
              </w:rPr>
              <w:t xml:space="preserve">    </w:t>
            </w:r>
            <w:r>
              <w:rPr>
                <w:sz w:val="21"/>
              </w:rPr>
              <w:t>中标供应商应依照现行行业法律、法规、规章及合同规定认真负责地经营和管理饭堂，至少应遵守以下方面：</w:t>
            </w:r>
          </w:p>
          <w:p>
            <w:pPr>
              <w:jc w:val="left"/>
            </w:pPr>
            <w:r>
              <w:rPr>
                <w:sz w:val="21"/>
              </w:rPr>
              <w:t>1.在营业期间，食堂必须取得卫生管理部门核发的《食品经营许可证》，该证件的办理由中标供应商负责，采购人积极予以协助。</w:t>
            </w:r>
          </w:p>
          <w:p>
            <w:pPr>
              <w:jc w:val="left"/>
            </w:pPr>
            <w:r>
              <w:rPr>
                <w:sz w:val="21"/>
              </w:rPr>
              <w:t>2.须严格按照卫生、防疫的有关法律、法规、规章等规定从事经营活动。</w:t>
            </w:r>
          </w:p>
          <w:p>
            <w:pPr>
              <w:jc w:val="left"/>
            </w:pPr>
            <w:r>
              <w:rPr>
                <w:sz w:val="21"/>
              </w:rPr>
              <w:t>3.须严格按照餐饮行业标准，建立规范的规章制度及标准，有规范的质量保证、卫生监控及风险控制措施，作业现场地线、标识、章程配置完善，内容准确、规范。</w:t>
            </w:r>
          </w:p>
          <w:p>
            <w:pPr>
              <w:jc w:val="left"/>
            </w:pPr>
            <w:r>
              <w:rPr>
                <w:sz w:val="21"/>
              </w:rPr>
              <w:t>4.必须保持工作环境整洁，做好减蚊及防虫防鼠工作，沟渠必须保持畅通。饭堂的台、椅、柜等必须保持无积污、无油渍、无水渍，饭堂的地板必须保持无垃圾、无油渍、无水渍。</w:t>
            </w:r>
          </w:p>
          <w:p>
            <w:pPr>
              <w:jc w:val="left"/>
            </w:pPr>
            <w:r>
              <w:rPr>
                <w:sz w:val="21"/>
              </w:rPr>
              <w:t>5.必须经营符合卫生标准的食品，不得经营变质、腐坏、过期等有害健康的食品。生、熟食品必须严格分开摆放，食品原料、待加工食品不得与成品食品混杂摆放。食品原料、待加工食品和成品食品不得与不洁、有毒等有害健康的物品混杂摆放。</w:t>
            </w:r>
          </w:p>
          <w:p>
            <w:pPr>
              <w:jc w:val="left"/>
            </w:pPr>
            <w:r>
              <w:rPr>
                <w:sz w:val="21"/>
              </w:rPr>
              <w:t>6.餐具清洗必须做到一洗、二刷、三冲、四消毒、五保洁。炊具必须做到用后清洗并保持清洁。</w:t>
            </w:r>
          </w:p>
          <w:p>
            <w:pPr>
              <w:jc w:val="left"/>
            </w:pPr>
            <w:r>
              <w:rPr>
                <w:sz w:val="21"/>
              </w:rPr>
              <w:t>7.废料、垃圾等必须在当日营业结束时清除干净，厨余垃圾必须清除到指定的垃圾桶或暂存点，并委托专业清运公司每日及时清运出院。</w:t>
            </w:r>
          </w:p>
          <w:p>
            <w:pPr>
              <w:jc w:val="left"/>
            </w:pPr>
            <w:r>
              <w:rPr>
                <w:sz w:val="21"/>
              </w:rPr>
              <w:t>8.中标供应商服务期间，中标供应商所使用之清洁用料及机器设备等必须安全且适合建筑设计、结构、材料及其他设备设施。若因使用不当而损坏物业任何设施，或导致任何人士损伤或损失者，中标供应商必须承担全部责任</w:t>
            </w:r>
          </w:p>
          <w:p>
            <w:pPr>
              <w:jc w:val="left"/>
            </w:pPr>
            <w:r>
              <w:rPr>
                <w:sz w:val="21"/>
              </w:rPr>
              <w:t>（三）中标供应商备餐基本要求：</w:t>
            </w:r>
          </w:p>
          <w:p>
            <w:pPr>
              <w:jc w:val="left"/>
            </w:pPr>
            <w:r>
              <w:rPr>
                <w:sz w:val="21"/>
              </w:rPr>
              <w:t xml:space="preserve">  </w:t>
            </w:r>
            <w:r>
              <w:rPr>
                <w:sz w:val="21"/>
              </w:rPr>
              <w:t>1.品种要求</w:t>
            </w:r>
          </w:p>
          <w:p>
            <w:pPr>
              <w:jc w:val="left"/>
            </w:pPr>
            <w:r>
              <w:rPr>
                <w:sz w:val="21"/>
              </w:rPr>
              <w:t>（</w:t>
            </w:r>
            <w:r>
              <w:rPr>
                <w:sz w:val="21"/>
              </w:rPr>
              <w:t>1）早餐供应的品种工作日不得低于12款，休息日不得低于10款，包括且不限于以下种类： 各种肉类粥、杂粮粥、白粥等； 特色拉面、刀削面、炒（面）粉、汤（面）粉、水饺、云吞等； 面点类：包子、馒头、发糕、三文治、蛋糕、油条、麻圆、饺子等； 杂粮类：小米、地瓜、玉米，以及牛奶、豆浆、鸡蛋（煮、煎）等。</w:t>
            </w:r>
          </w:p>
          <w:p>
            <w:pPr>
              <w:jc w:val="left"/>
            </w:pPr>
            <w:r>
              <w:rPr>
                <w:sz w:val="21"/>
              </w:rPr>
              <w:t>（</w:t>
            </w:r>
            <w:r>
              <w:rPr>
                <w:sz w:val="21"/>
              </w:rPr>
              <w:t>2）</w:t>
            </w:r>
            <w:r>
              <w:rPr>
                <w:sz w:val="21"/>
              </w:rPr>
              <w:t>正餐的午餐供应品种工作日不少于</w:t>
            </w:r>
            <w:r>
              <w:rPr>
                <w:sz w:val="21"/>
              </w:rPr>
              <w:t>12种，休息日不少于10种；晚餐供应品种工作日不少于9种，休息日不少于8种。菜式须变化搭配，并明码标价，公布所供给的膳食名称、数量、质量、价格要公布；正餐每餐次需提供四款以上不同菜式、口味的套餐可供选择。套餐可单点，单点的价格参照套餐品种的价格和分量由采购人核定后执行。</w:t>
            </w:r>
          </w:p>
          <w:p>
            <w:pPr>
              <w:jc w:val="left"/>
            </w:pPr>
            <w:r>
              <w:rPr>
                <w:sz w:val="21"/>
              </w:rPr>
              <w:t>（</w:t>
            </w:r>
            <w:r>
              <w:rPr>
                <w:sz w:val="21"/>
              </w:rPr>
              <w:t>3）供餐菜式要求荤素、营养搭配均衡，口味多样，每周菜式编排原则上要求更新不重样，每月新推创新菜式、面点等品种不少于6款，新菜式经采购人审核定价后方可执行。</w:t>
            </w:r>
          </w:p>
          <w:p>
            <w:pPr>
              <w:jc w:val="left"/>
            </w:pPr>
            <w:r>
              <w:rPr>
                <w:sz w:val="21"/>
              </w:rPr>
              <w:t xml:space="preserve"> </w:t>
            </w:r>
            <w:r>
              <w:rPr>
                <w:sz w:val="21"/>
              </w:rPr>
              <w:t>2.烹饪质量要求：干净卫生，制作精细，色、香、味俱全，配餐符合食品安全和营养健康标准。</w:t>
            </w:r>
          </w:p>
          <w:p>
            <w:pPr>
              <w:jc w:val="left"/>
            </w:pPr>
            <w:r>
              <w:rPr>
                <w:sz w:val="21"/>
              </w:rPr>
              <w:t>（四）其他事项要求</w:t>
            </w:r>
          </w:p>
          <w:p>
            <w:pPr>
              <w:jc w:val="left"/>
            </w:pPr>
            <w:r>
              <w:rPr>
                <w:sz w:val="21"/>
              </w:rPr>
              <w:t>1.采购人向中标供应商提供现场办公室、办公家具供中标供应商工作之需。</w:t>
            </w:r>
          </w:p>
          <w:p>
            <w:pPr>
              <w:jc w:val="left"/>
            </w:pPr>
            <w:r>
              <w:rPr>
                <w:sz w:val="21"/>
              </w:rPr>
              <w:t>2.采购人为中标供应商提供项目正常运行必要的水、电、气等必要能源及所需设施、原料，中标供应商将尽力节约使用能源，降低运营成本。</w:t>
            </w:r>
          </w:p>
          <w:p>
            <w:pPr>
              <w:jc w:val="left"/>
            </w:pPr>
            <w:r>
              <w:rPr>
                <w:sz w:val="21"/>
              </w:rPr>
              <w:t>3.中标供应商必须配合采购人对本项目实施统一管理，按要求向其报送相关报表及统计资料，并对每月的工作情况作必要说明。采购人每月对中标供应商的综合服务质量进行评定。</w:t>
            </w:r>
          </w:p>
          <w:p>
            <w:pPr>
              <w:jc w:val="left"/>
            </w:pPr>
            <w:r>
              <w:rPr>
                <w:sz w:val="21"/>
              </w:rPr>
              <w:t>4.中标供应商负责保管采购人提供的一切物资，以及物质、设备的维修保养管理，若发生人为损坏，中标供应商需照价赔偿。未经采购人同意，不准私自改造采购人提供的一切建筑物和设备、设施。</w:t>
            </w:r>
          </w:p>
          <w:p>
            <w:pPr>
              <w:jc w:val="left"/>
            </w:pPr>
            <w:r>
              <w:rPr>
                <w:sz w:val="21"/>
              </w:rPr>
              <w:t>5.中标供应商应按规定时限提交月度工作总结。采购人有权不定期对中标供应商工作进行综合工作监督检查。</w:t>
            </w:r>
          </w:p>
          <w:p>
            <w:pPr>
              <w:jc w:val="left"/>
            </w:pPr>
            <w:r>
              <w:rPr>
                <w:sz w:val="21"/>
              </w:rPr>
              <w:t>6.中标供应商对其管理的采购人食堂安全运营承担全部责任，接受采购人的监督检查，并落实整改措施；中标供应商须在其承包经营期内为采购人食堂投保购买年度赔付额不少于人民币500 万元的食品安全责任险以及年度赔付额不少于人民币500万元的公众责任险（含火灾、意外伤害等责任赔付）。</w:t>
            </w:r>
          </w:p>
          <w:p>
            <w:pPr>
              <w:jc w:val="left"/>
            </w:pPr>
            <w:r>
              <w:rPr>
                <w:sz w:val="21"/>
              </w:rPr>
              <w:t>7.中标供应商应按照相关法律规定规范处理厨余垃圾及潲水，并与第三方专业公司签订有效合同，不得私自违法处理，如有发现，需承担相应责任。</w:t>
            </w:r>
          </w:p>
          <w:p>
            <w:pPr>
              <w:jc w:val="left"/>
            </w:pPr>
            <w:r>
              <w:rPr>
                <w:sz w:val="21"/>
              </w:rPr>
              <w:t>8.中标供应商需负责食堂餐饮相关证照的办理和年审。</w:t>
            </w:r>
          </w:p>
          <w:p>
            <w:pPr>
              <w:jc w:val="left"/>
            </w:pPr>
            <w:r>
              <w:rPr>
                <w:sz w:val="21"/>
              </w:rPr>
              <w:t>9.中标供应商在服务期内因故意或疏忽导致采购人食堂等相关区域发生火灾、多人食物中毒或其它严重安全或治安事故，中标供应商须承担全部经济及法律责任，采购人有权依法追究中标供应商经济、法律责任，并有权单方解除服务合同。</w:t>
            </w:r>
          </w:p>
          <w:p>
            <w:pPr>
              <w:jc w:val="both"/>
            </w:pPr>
            <w:r>
              <w:rPr>
                <w:b/>
                <w:sz w:val="21"/>
              </w:rPr>
              <w:t>七、食堂</w:t>
            </w:r>
            <w:r>
              <w:rPr>
                <w:b/>
                <w:sz w:val="21"/>
              </w:rPr>
              <w:t>服务</w:t>
            </w:r>
            <w:r>
              <w:rPr>
                <w:b/>
                <w:sz w:val="21"/>
              </w:rPr>
              <w:t>考核标准</w:t>
            </w:r>
          </w:p>
          <w:p>
            <w:pPr>
              <w:jc w:val="left"/>
            </w:pPr>
            <w:r>
              <w:rPr>
                <w:sz w:val="21"/>
              </w:rPr>
              <w:t>（一）采购人对中标供应商的服务进行考核评议：采购人由食堂事务管理部门、工会伙委会等相关人员组成膳食管理小组对食堂服务进行月</w:t>
            </w:r>
            <w:r>
              <w:rPr>
                <w:sz w:val="21"/>
              </w:rPr>
              <w:t>度</w:t>
            </w:r>
            <w:r>
              <w:rPr>
                <w:sz w:val="21"/>
              </w:rPr>
              <w:t>综合考核</w:t>
            </w:r>
            <w:r>
              <w:rPr>
                <w:sz w:val="21"/>
              </w:rPr>
              <w:t>（考核内容见《广东省工伤康复中心食堂服务月度综合考核表》）</w:t>
            </w:r>
            <w:r>
              <w:rPr>
                <w:sz w:val="21"/>
              </w:rPr>
              <w:t>，采购人有权根据考核结果，及中标供应商整改后的情况</w:t>
            </w:r>
            <w:r>
              <w:rPr>
                <w:sz w:val="21"/>
              </w:rPr>
              <w:t>进行验收，如</w:t>
            </w:r>
            <w:r>
              <w:rPr>
                <w:sz w:val="21"/>
                <w:u w:val="single"/>
              </w:rPr>
              <w:t>达到招标文件规定的采购人单方解除合同条件，则采购人有权提前终止合同</w:t>
            </w:r>
            <w:r>
              <w:rPr>
                <w:sz w:val="21"/>
              </w:rPr>
              <w:t>。</w:t>
            </w:r>
          </w:p>
          <w:p>
            <w:pPr>
              <w:jc w:val="left"/>
            </w:pPr>
            <w:r>
              <w:rPr>
                <w:sz w:val="21"/>
              </w:rPr>
              <w:t xml:space="preserve"> </w:t>
            </w:r>
            <w:r>
              <w:rPr>
                <w:sz w:val="21"/>
              </w:rPr>
              <w:t>（二）广东省工伤康复中心食堂服务综合考核表</w:t>
            </w:r>
          </w:p>
          <w:tbl>
            <w:tblPr>
              <w:tblBorders>
                <w:top w:val="none" w:color="000000" w:sz="4"/>
                <w:left w:val="none" w:color="000000" w:sz="4"/>
                <w:bottom w:val="none" w:color="000000" w:sz="4"/>
                <w:right w:val="none" w:color="000000" w:sz="4"/>
                <w:insideH w:val="none"/>
                <w:insideV w:val="none"/>
              </w:tblBorders>
            </w:tblPr>
            <w:tblGrid>
              <w:gridCol w:w="730"/>
              <w:gridCol w:w="2101"/>
              <w:gridCol w:w="915"/>
              <w:gridCol w:w="915"/>
              <w:gridCol w:w="486"/>
              <w:gridCol w:w="450"/>
            </w:tblGrid>
            <w:tr>
              <w:tc>
                <w:tcPr>
                  <w:tcW w:type="dxa" w:w="5597"/>
                  <w:gridSpan w:val="6"/>
                  <w:tcBorders>
                    <w:top w:val="single" w:color="000000" w:sz="4"/>
                    <w:left w:val="single" w:color="000000" w:sz="4"/>
                    <w:bottom w:val="single" w:color="000000" w:sz="4"/>
                    <w:right w:val="single" w:color="000000" w:sz="4"/>
                  </w:tcBorders>
                  <w:vAlign w:val="top"/>
                </w:tcPr>
                <w:p>
                  <w:pPr>
                    <w:jc w:val="center"/>
                  </w:pPr>
                  <w:r>
                    <w:rPr>
                      <w:b/>
                      <w:sz w:val="28"/>
                    </w:rPr>
                    <w:t>广东省工伤康复中心食堂服务月度综合考核表</w:t>
                  </w:r>
                  <w:r>
                    <w:rPr>
                      <w:b/>
                      <w:sz w:val="28"/>
                    </w:rPr>
                    <w:t xml:space="preserve">     </w:t>
                  </w:r>
                  <w:r>
                    <w:rPr>
                      <w:b/>
                      <w:sz w:val="28"/>
                    </w:rPr>
                    <w:t>202  年   月</w:t>
                  </w:r>
                </w:p>
              </w:tc>
            </w:tr>
            <w:tr>
              <w:tc>
                <w:tcPr>
                  <w:tcW w:type="dxa" w:w="730"/>
                  <w:tcBorders>
                    <w:top w:val="none" w:color="000000" w:sz="4"/>
                    <w:left w:val="single" w:color="000000" w:sz="4"/>
                    <w:bottom w:val="single" w:color="000000" w:sz="4"/>
                    <w:right w:val="single" w:color="000000" w:sz="4"/>
                  </w:tcBorders>
                  <w:vAlign w:val="top"/>
                </w:tcPr>
                <w:p>
                  <w:pPr>
                    <w:jc w:val="both"/>
                  </w:pPr>
                  <w:r>
                    <w:rPr>
                      <w:sz w:val="21"/>
                    </w:rPr>
                    <w:t xml:space="preserve"> </w:t>
                  </w:r>
                  <w:r>
                    <w:rPr>
                      <w:sz w:val="21"/>
                    </w:rPr>
                    <w:t>考核类别</w:t>
                  </w:r>
                </w:p>
              </w:tc>
              <w:tc>
                <w:tcPr>
                  <w:tcW w:type="dxa" w:w="2101"/>
                  <w:tcBorders>
                    <w:top w:val="single" w:color="000000" w:sz="4"/>
                    <w:left w:val="single" w:color="000000" w:sz="4"/>
                    <w:bottom w:val="single" w:color="000000" w:sz="4"/>
                    <w:right w:val="single" w:color="000000" w:sz="4"/>
                  </w:tcBorders>
                  <w:vAlign w:val="top"/>
                </w:tcPr>
                <w:p>
                  <w:pPr>
                    <w:jc w:val="center"/>
                  </w:pPr>
                  <w:r>
                    <w:rPr>
                      <w:sz w:val="21"/>
                    </w:rPr>
                    <w:t>考核内容</w:t>
                  </w:r>
                </w:p>
              </w:tc>
              <w:tc>
                <w:tcPr>
                  <w:tcW w:type="dxa" w:w="1830"/>
                  <w:gridSpan w:val="2"/>
                  <w:tcBorders>
                    <w:top w:val="single" w:color="000000" w:sz="4"/>
                    <w:left w:val="single" w:color="000000" w:sz="4"/>
                    <w:bottom w:val="single" w:color="000000" w:sz="4"/>
                    <w:right w:val="single" w:color="000000" w:sz="4"/>
                  </w:tcBorders>
                  <w:vAlign w:val="top"/>
                </w:tcPr>
                <w:p>
                  <w:pPr>
                    <w:jc w:val="center"/>
                  </w:pPr>
                  <w:r>
                    <w:rPr>
                      <w:sz w:val="21"/>
                    </w:rPr>
                    <w:t>评分标准</w:t>
                  </w:r>
                </w:p>
              </w:tc>
              <w:tc>
                <w:tcPr>
                  <w:tcW w:type="dxa" w:w="486"/>
                  <w:tcBorders>
                    <w:top w:val="single" w:color="000000" w:sz="4"/>
                    <w:left w:val="single" w:color="000000" w:sz="4"/>
                    <w:bottom w:val="single" w:color="000000" w:sz="4"/>
                    <w:right w:val="single" w:color="000000" w:sz="4"/>
                  </w:tcBorders>
                  <w:vAlign w:val="top"/>
                </w:tcPr>
                <w:p>
                  <w:pPr>
                    <w:jc w:val="center"/>
                  </w:pPr>
                  <w:r>
                    <w:rPr>
                      <w:sz w:val="21"/>
                    </w:rPr>
                    <w:t>加减分</w:t>
                  </w:r>
                </w:p>
              </w:tc>
              <w:tc>
                <w:tcPr>
                  <w:tcW w:type="dxa" w:w="450"/>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730"/>
                  <w:vMerge w:val="restart"/>
                  <w:tcBorders>
                    <w:top w:val="none" w:color="000000" w:sz="4"/>
                    <w:left w:val="single" w:color="000000" w:sz="4"/>
                    <w:bottom w:val="single" w:color="000000" w:sz="4"/>
                    <w:right w:val="single" w:color="000000" w:sz="4"/>
                  </w:tcBorders>
                  <w:vAlign w:val="top"/>
                </w:tcPr>
                <w:p>
                  <w:pPr>
                    <w:jc w:val="center"/>
                  </w:pPr>
                  <w:r>
                    <w:rPr>
                      <w:b/>
                      <w:sz w:val="21"/>
                    </w:rPr>
                    <w:t>安全生产</w:t>
                  </w:r>
                </w:p>
                <w:p>
                  <w:pPr>
                    <w:jc w:val="center"/>
                  </w:pPr>
                  <w:r>
                    <w:rPr>
                      <w:b/>
                      <w:sz w:val="21"/>
                    </w:rPr>
                    <w:t>（</w:t>
                  </w:r>
                  <w:r>
                    <w:rPr>
                      <w:b/>
                      <w:sz w:val="21"/>
                    </w:rPr>
                    <w:t>40分）</w:t>
                  </w:r>
                </w:p>
              </w:tc>
              <w:tc>
                <w:tcPr>
                  <w:tcW w:type="dxa" w:w="2101"/>
                  <w:vMerge w:val="restart"/>
                  <w:tcBorders>
                    <w:top w:val="none" w:color="000000" w:sz="4"/>
                    <w:left w:val="single" w:color="000000" w:sz="4"/>
                    <w:bottom w:val="single" w:color="000000" w:sz="4"/>
                    <w:right w:val="single" w:color="000000" w:sz="4"/>
                  </w:tcBorders>
                  <w:vAlign w:val="top"/>
                </w:tcPr>
                <w:p>
                  <w:pPr>
                    <w:jc w:val="left"/>
                  </w:pPr>
                  <w:r>
                    <w:rPr>
                      <w:sz w:val="21"/>
                    </w:rPr>
                    <w:t>严守食堂安全生产红线，一旦发生重大消防、食品卫生安全或其它重大安全事故，一票否决。</w:t>
                  </w:r>
                </w:p>
              </w:tc>
              <w:tc>
                <w:tcPr>
                  <w:tcW w:type="dxa" w:w="1830"/>
                  <w:gridSpan w:val="2"/>
                  <w:vMerge w:val="restart"/>
                  <w:tcBorders>
                    <w:top w:val="none" w:color="000000" w:sz="4"/>
                    <w:left w:val="single" w:color="000000" w:sz="4"/>
                    <w:bottom w:val="single" w:color="000000" w:sz="4"/>
                    <w:right w:val="single" w:color="000000" w:sz="4"/>
                  </w:tcBorders>
                  <w:vAlign w:val="top"/>
                </w:tcPr>
                <w:p>
                  <w:pPr>
                    <w:jc w:val="left"/>
                  </w:pPr>
                  <w:r>
                    <w:rPr>
                      <w:sz w:val="21"/>
                    </w:rPr>
                    <w:t>1、</w:t>
                  </w:r>
                  <w:r>
                    <w:rPr>
                      <w:sz w:val="21"/>
                    </w:rPr>
                    <w:t>发生重大消防、食品卫生安全或其它重大安全责任事故，采购人有权扣罚中标供应商全部未结费用、单方解除合同，并依法追究其经济、法律责任。</w:t>
                  </w:r>
                </w:p>
                <w:p>
                  <w:pPr>
                    <w:jc w:val="left"/>
                  </w:pPr>
                  <w:r>
                    <w:rPr>
                      <w:sz w:val="21"/>
                    </w:rPr>
                    <w:t>2、发生一般意外事故或食品卫生等不良事件，未造成严重后果的，根据情节轻重每次扣5-20分。</w:t>
                  </w:r>
                </w:p>
                <w:p>
                  <w:pPr>
                    <w:jc w:val="left"/>
                  </w:pPr>
                </w:p>
              </w:tc>
              <w:tc>
                <w:tcPr>
                  <w:tcW w:type="dxa" w:w="486"/>
                  <w:tcBorders>
                    <w:top w:val="none" w:color="000000" w:sz="4"/>
                    <w:left w:val="single" w:color="000000" w:sz="4"/>
                    <w:bottom w:val="single" w:color="000000" w:sz="4"/>
                    <w:right w:val="single" w:color="000000" w:sz="4"/>
                  </w:tcBorders>
                  <w:vAlign w:val="top"/>
                </w:tcPr>
                <w:p>
                  <w:pPr>
                    <w:jc w:val="left"/>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vMerge/>
                  <w:tcBorders>
                    <w:top w:val="none" w:color="000000" w:sz="4"/>
                    <w:left w:val="single" w:color="000000" w:sz="4"/>
                    <w:bottom w:val="single" w:color="000000" w:sz="4"/>
                    <w:right w:val="single" w:color="000000" w:sz="4"/>
                  </w:tcBorders>
                </w:tcPr>
                <w:p/>
              </w:tc>
              <w:tc>
                <w:tcPr>
                  <w:tcW w:type="dxa" w:w="2101"/>
                  <w:vMerge/>
                  <w:tcBorders>
                    <w:top w:val="none" w:color="000000" w:sz="4"/>
                    <w:left w:val="single" w:color="000000" w:sz="4"/>
                    <w:bottom w:val="single" w:color="000000" w:sz="4"/>
                    <w:right w:val="single" w:color="000000" w:sz="4"/>
                  </w:tcBorders>
                </w:tcPr>
                <w:p/>
              </w:tc>
              <w:tc>
                <w:tcPr>
                  <w:tcW w:type="dxa" w:w="1830"/>
                  <w:gridSpan w:val="2"/>
                  <w:vMerge/>
                  <w:tcBorders>
                    <w:top w:val="none" w:color="000000" w:sz="4"/>
                    <w:left w:val="single" w:color="000000" w:sz="4"/>
                    <w:bottom w:val="single" w:color="000000" w:sz="4"/>
                    <w:right w:val="single" w:color="000000" w:sz="4"/>
                  </w:tcBorders>
                </w:tcPr>
                <w:p/>
              </w:tc>
              <w:tc>
                <w:tcPr>
                  <w:tcW w:type="dxa" w:w="486"/>
                  <w:tcBorders>
                    <w:top w:val="none" w:color="000000" w:sz="4"/>
                    <w:left w:val="single" w:color="000000" w:sz="4"/>
                    <w:bottom w:val="single" w:color="000000" w:sz="4"/>
                    <w:right w:val="single" w:color="000000" w:sz="4"/>
                  </w:tcBorders>
                  <w:vAlign w:val="top"/>
                </w:tcPr>
                <w:p>
                  <w:pPr>
                    <w:jc w:val="left"/>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vAlign w:val="top"/>
                </w:tcPr>
                <w:p>
                  <w:pPr>
                    <w:jc w:val="both"/>
                  </w:pPr>
                  <w:r>
                    <w:rPr>
                      <w:b/>
                      <w:sz w:val="21"/>
                    </w:rPr>
                    <w:t>1.</w:t>
                  </w:r>
                  <w:r>
                    <w:rPr>
                      <w:sz w:val="21"/>
                    </w:rPr>
                    <w:t>检查无违规用电、用气或明火作业无人看守等违章操作行为；</w:t>
                  </w:r>
                </w:p>
                <w:p>
                  <w:pPr>
                    <w:jc w:val="both"/>
                  </w:pPr>
                  <w:r>
                    <w:rPr>
                      <w:b/>
                      <w:sz w:val="21"/>
                    </w:rPr>
                    <w:t>2.</w:t>
                  </w:r>
                  <w:r>
                    <w:rPr>
                      <w:sz w:val="21"/>
                    </w:rPr>
                    <w:t>消防应急类器材配置维护正常，有日常安全自查维护记录；</w:t>
                  </w:r>
                </w:p>
                <w:p>
                  <w:pPr>
                    <w:jc w:val="both"/>
                  </w:pPr>
                  <w:r>
                    <w:rPr>
                      <w:b/>
                      <w:sz w:val="21"/>
                    </w:rPr>
                    <w:t>3.</w:t>
                  </w:r>
                  <w:r>
                    <w:rPr>
                      <w:sz w:val="21"/>
                    </w:rPr>
                    <w:t>食堂环境及设施无显著安全隐患。</w:t>
                  </w:r>
                </w:p>
              </w:tc>
              <w:tc>
                <w:tcPr>
                  <w:tcW w:type="dxa" w:w="1830"/>
                  <w:gridSpan w:val="2"/>
                  <w:tcBorders>
                    <w:top w:val="none" w:color="000000" w:sz="4"/>
                    <w:left w:val="single" w:color="000000" w:sz="4"/>
                    <w:bottom w:val="single" w:color="000000" w:sz="4"/>
                    <w:right w:val="single" w:color="000000" w:sz="4"/>
                  </w:tcBorders>
                  <w:vAlign w:val="top"/>
                </w:tcPr>
                <w:p>
                  <w:pPr>
                    <w:jc w:val="center"/>
                  </w:pPr>
                  <w:r>
                    <w:rPr>
                      <w:sz w:val="21"/>
                    </w:rPr>
                    <w:t>存在安全隐患每项扣</w:t>
                  </w:r>
                  <w:r>
                    <w:rPr>
                      <w:sz w:val="21"/>
                    </w:rPr>
                    <w:t>3分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vAlign w:val="top"/>
                </w:tcPr>
                <w:p>
                  <w:pPr>
                    <w:jc w:val="both"/>
                  </w:pPr>
                  <w:r>
                    <w:rPr>
                      <w:b/>
                      <w:sz w:val="21"/>
                    </w:rPr>
                    <w:t>1.</w:t>
                  </w:r>
                  <w:r>
                    <w:rPr>
                      <w:sz w:val="21"/>
                    </w:rPr>
                    <w:t>检查无入库或使用腐烂变质、外包装破损、过期等食材；</w:t>
                  </w:r>
                </w:p>
                <w:p>
                  <w:pPr>
                    <w:jc w:val="both"/>
                  </w:pPr>
                  <w:r>
                    <w:rPr>
                      <w:b/>
                      <w:sz w:val="21"/>
                    </w:rPr>
                    <w:t>2.</w:t>
                  </w:r>
                  <w:r>
                    <w:rPr>
                      <w:sz w:val="21"/>
                    </w:rPr>
                    <w:t>无违反食品安全管理规定的操作行为；</w:t>
                  </w:r>
                </w:p>
                <w:p>
                  <w:pPr>
                    <w:jc w:val="both"/>
                  </w:pPr>
                  <w:r>
                    <w:rPr>
                      <w:b/>
                      <w:sz w:val="21"/>
                    </w:rPr>
                    <w:t>3.</w:t>
                  </w:r>
                  <w:r>
                    <w:rPr>
                      <w:sz w:val="21"/>
                    </w:rPr>
                    <w:t>无发生因食物变质、杂物污染、员工不洁或危险操作导致的有效投诉。</w:t>
                  </w:r>
                </w:p>
              </w:tc>
              <w:tc>
                <w:tcPr>
                  <w:tcW w:type="dxa" w:w="1830"/>
                  <w:gridSpan w:val="2"/>
                  <w:tcBorders>
                    <w:top w:val="none" w:color="000000" w:sz="4"/>
                    <w:left w:val="single" w:color="000000" w:sz="4"/>
                    <w:bottom w:val="single" w:color="000000" w:sz="4"/>
                    <w:right w:val="single" w:color="000000" w:sz="4"/>
                  </w:tcBorders>
                  <w:vAlign w:val="top"/>
                </w:tcPr>
                <w:p>
                  <w:pPr>
                    <w:jc w:val="center"/>
                  </w:pPr>
                  <w:r>
                    <w:rPr>
                      <w:sz w:val="21"/>
                    </w:rPr>
                    <w:t>存在食品安全隐患每项扣</w:t>
                  </w:r>
                  <w:r>
                    <w:rPr>
                      <w:sz w:val="21"/>
                    </w:rPr>
                    <w:t>3分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vAlign w:val="top"/>
                </w:tcPr>
                <w:p>
                  <w:pPr>
                    <w:jc w:val="both"/>
                  </w:pPr>
                  <w:r>
                    <w:rPr>
                      <w:sz w:val="21"/>
                    </w:rPr>
                    <w:t>无因为食堂地面湿滑、设施破损等导致不良后果的事件或有效投诉。</w:t>
                  </w:r>
                </w:p>
              </w:tc>
              <w:tc>
                <w:tcPr>
                  <w:tcW w:type="dxa" w:w="1830"/>
                  <w:gridSpan w:val="2"/>
                  <w:tcBorders>
                    <w:top w:val="none" w:color="000000" w:sz="4"/>
                    <w:left w:val="single" w:color="000000" w:sz="4"/>
                    <w:bottom w:val="single" w:color="000000" w:sz="4"/>
                    <w:right w:val="single" w:color="000000" w:sz="4"/>
                  </w:tcBorders>
                  <w:vAlign w:val="top"/>
                </w:tcPr>
                <w:p>
                  <w:pPr>
                    <w:jc w:val="center"/>
                  </w:pPr>
                  <w:r>
                    <w:rPr>
                      <w:sz w:val="21"/>
                    </w:rPr>
                    <w:t>存在安全保障类投诉每项扣</w:t>
                  </w:r>
                  <w:r>
                    <w:rPr>
                      <w:sz w:val="21"/>
                    </w:rPr>
                    <w:t>3分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vMerge w:val="restart"/>
                  <w:tcBorders>
                    <w:top w:val="none" w:color="000000" w:sz="4"/>
                    <w:left w:val="single" w:color="000000" w:sz="4"/>
                    <w:bottom w:val="single" w:color="000000" w:sz="4"/>
                    <w:right w:val="single" w:color="000000" w:sz="4"/>
                  </w:tcBorders>
                  <w:vAlign w:val="top"/>
                </w:tcPr>
                <w:p>
                  <w:pPr>
                    <w:jc w:val="center"/>
                  </w:pPr>
                  <w:r>
                    <w:rPr>
                      <w:b/>
                      <w:sz w:val="21"/>
                    </w:rPr>
                    <w:t>规范服务</w:t>
                  </w:r>
                </w:p>
                <w:p>
                  <w:pPr>
                    <w:jc w:val="center"/>
                  </w:pPr>
                  <w:r>
                    <w:rPr>
                      <w:b/>
                      <w:sz w:val="21"/>
                    </w:rPr>
                    <w:t>（</w:t>
                  </w:r>
                  <w:r>
                    <w:rPr>
                      <w:b/>
                      <w:sz w:val="21"/>
                    </w:rPr>
                    <w:t>30分）</w:t>
                  </w:r>
                </w:p>
              </w:tc>
              <w:tc>
                <w:tcPr>
                  <w:tcW w:type="dxa" w:w="2101"/>
                  <w:tcBorders>
                    <w:top w:val="none" w:color="000000" w:sz="4"/>
                    <w:left w:val="single" w:color="000000" w:sz="4"/>
                    <w:bottom w:val="single" w:color="000000" w:sz="4"/>
                    <w:right w:val="single" w:color="000000" w:sz="4"/>
                  </w:tcBorders>
                  <w:vAlign w:val="top"/>
                </w:tcPr>
                <w:p>
                  <w:pPr>
                    <w:numPr>
                      <w:ilvl w:val="0"/>
                      <w:numId w:val="1"/>
                    </w:numPr>
                    <w:jc w:val="left"/>
                  </w:pPr>
                  <w:r>
                    <w:rPr>
                      <w:sz w:val="21"/>
                    </w:rPr>
                    <w:t>严格按合同约定时间、品类及标准供餐；</w:t>
                  </w:r>
                </w:p>
                <w:p>
                  <w:pPr>
                    <w:jc w:val="left"/>
                  </w:pPr>
                  <w:r>
                    <w:rPr>
                      <w:b/>
                      <w:sz w:val="21"/>
                    </w:rPr>
                    <w:t>2.</w:t>
                  </w:r>
                  <w:r>
                    <w:rPr>
                      <w:sz w:val="21"/>
                    </w:rPr>
                    <w:t>菜谱每周更新，品类齐全，口味、形式多样，出品无不熟、焦糊、过咸过淡等瑕疵；</w:t>
                  </w:r>
                </w:p>
                <w:p>
                  <w:pPr>
                    <w:jc w:val="left"/>
                  </w:pPr>
                  <w:r>
                    <w:rPr>
                      <w:b/>
                      <w:sz w:val="21"/>
                    </w:rPr>
                    <w:t>3.</w:t>
                  </w:r>
                  <w:r>
                    <w:rPr>
                      <w:sz w:val="21"/>
                    </w:rPr>
                    <w:t>每月新出菜品</w:t>
                  </w:r>
                  <w:r>
                    <w:rPr>
                      <w:sz w:val="21"/>
                    </w:rPr>
                    <w:t>≥6款；</w:t>
                  </w:r>
                </w:p>
                <w:p>
                  <w:pPr>
                    <w:jc w:val="left"/>
                  </w:pPr>
                  <w:r>
                    <w:rPr>
                      <w:b/>
                      <w:sz w:val="21"/>
                    </w:rPr>
                    <w:t>4.</w:t>
                  </w:r>
                  <w:r>
                    <w:rPr>
                      <w:sz w:val="21"/>
                    </w:rPr>
                    <w:t>供餐服务、保温、特殊饮食配制、围餐、应急供餐等餐务服务合规，有效服务投诉</w:t>
                  </w:r>
                  <w:r>
                    <w:rPr>
                      <w:sz w:val="21"/>
                    </w:rPr>
                    <w:t>≤1次。</w:t>
                  </w:r>
                </w:p>
              </w:tc>
              <w:tc>
                <w:tcPr>
                  <w:tcW w:type="dxa" w:w="1830"/>
                  <w:gridSpan w:val="2"/>
                  <w:tcBorders>
                    <w:top w:val="none" w:color="000000" w:sz="4"/>
                    <w:left w:val="singl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vAlign w:val="top"/>
                </w:tcPr>
                <w:p>
                  <w:pPr>
                    <w:numPr>
                      <w:ilvl w:val="0"/>
                      <w:numId w:val="1"/>
                    </w:numPr>
                    <w:jc w:val="both"/>
                  </w:pPr>
                  <w:r>
                    <w:rPr>
                      <w:sz w:val="21"/>
                    </w:rPr>
                    <w:t>在岗人员持有效健康证上岗，人数、年龄和资质符合合同约定标准，无违规聘用不合格人员；</w:t>
                  </w:r>
                </w:p>
                <w:p>
                  <w:pPr>
                    <w:jc w:val="both"/>
                  </w:pPr>
                  <w:r>
                    <w:rPr>
                      <w:b/>
                      <w:sz w:val="21"/>
                    </w:rPr>
                    <w:t>2.</w:t>
                  </w:r>
                  <w:r>
                    <w:rPr>
                      <w:sz w:val="21"/>
                    </w:rPr>
                    <w:t>全员规范佩戴工作帽、口罩、手套（窗口岗位）作业，无蓄长发、长指甲、戴戒指、假指甲等；</w:t>
                  </w:r>
                </w:p>
                <w:p>
                  <w:pPr>
                    <w:jc w:val="both"/>
                  </w:pPr>
                  <w:r>
                    <w:rPr>
                      <w:b/>
                      <w:sz w:val="21"/>
                    </w:rPr>
                    <w:t>3.</w:t>
                  </w:r>
                  <w:r>
                    <w:rPr>
                      <w:sz w:val="21"/>
                    </w:rPr>
                    <w:t>无迟到早退、擅自离岗脱岗及其它违规违纪行为。</w:t>
                  </w:r>
                </w:p>
              </w:tc>
              <w:tc>
                <w:tcPr>
                  <w:tcW w:type="dxa" w:w="1830"/>
                  <w:gridSpan w:val="2"/>
                  <w:tcBorders>
                    <w:top w:val="none" w:color="000000" w:sz="4"/>
                    <w:left w:val="singl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p>
                  <w:pPr>
                    <w:jc w:val="both"/>
                  </w:pPr>
                </w:p>
                <w:p>
                  <w:pPr>
                    <w:jc w:val="both"/>
                  </w:pPr>
                </w:p>
              </w:tc>
            </w:tr>
            <w:tr>
              <w:tc>
                <w:tcPr>
                  <w:tcW w:type="dxa" w:w="73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vAlign w:val="top"/>
                </w:tcPr>
                <w:p>
                  <w:pPr>
                    <w:numPr>
                      <w:ilvl w:val="0"/>
                      <w:numId w:val="1"/>
                    </w:numPr>
                    <w:jc w:val="both"/>
                  </w:pPr>
                  <w:r>
                    <w:rPr>
                      <w:sz w:val="21"/>
                    </w:rPr>
                    <w:t>食堂各功能区标识、规章和餐厅服务指引、装饰宣教品张贴完善规范；</w:t>
                  </w:r>
                </w:p>
                <w:p>
                  <w:pPr>
                    <w:jc w:val="both"/>
                  </w:pPr>
                  <w:r>
                    <w:rPr>
                      <w:b/>
                      <w:sz w:val="21"/>
                    </w:rPr>
                    <w:t>2.</w:t>
                  </w:r>
                  <w:r>
                    <w:rPr>
                      <w:sz w:val="21"/>
                    </w:rPr>
                    <w:t>环境清洁，工具摆放整齐有序，无显著积垢、油污、虫迹鼠迹；</w:t>
                  </w:r>
                </w:p>
                <w:p>
                  <w:pPr>
                    <w:jc w:val="both"/>
                  </w:pPr>
                  <w:r>
                    <w:rPr>
                      <w:b/>
                      <w:sz w:val="21"/>
                    </w:rPr>
                    <w:t>3.</w:t>
                  </w:r>
                  <w:r>
                    <w:rPr>
                      <w:sz w:val="21"/>
                    </w:rPr>
                    <w:t>按需配置灭蚊灯、防虫网罩、洗洁用品；</w:t>
                  </w:r>
                </w:p>
                <w:p>
                  <w:pPr>
                    <w:jc w:val="both"/>
                  </w:pPr>
                  <w:r>
                    <w:rPr>
                      <w:b/>
                      <w:sz w:val="21"/>
                    </w:rPr>
                    <w:t>4.</w:t>
                  </w:r>
                  <w:r>
                    <w:rPr>
                      <w:sz w:val="21"/>
                    </w:rPr>
                    <w:t>排污管井</w:t>
                  </w:r>
                  <w:r>
                    <w:rPr>
                      <w:sz w:val="21"/>
                    </w:rPr>
                    <w:t>按需</w:t>
                  </w:r>
                  <w:r>
                    <w:rPr>
                      <w:sz w:val="21"/>
                    </w:rPr>
                    <w:t>清理、保持清洁、通畅。</w:t>
                  </w:r>
                </w:p>
              </w:tc>
              <w:tc>
                <w:tcPr>
                  <w:tcW w:type="dxa" w:w="1830"/>
                  <w:gridSpan w:val="2"/>
                  <w:tcBorders>
                    <w:top w:val="none" w:color="000000" w:sz="4"/>
                    <w:left w:val="singl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486"/>
                  <w:tcBorders>
                    <w:top w:val="none" w:color="000000" w:sz="4"/>
                    <w:left w:val="single" w:color="000000" w:sz="4"/>
                    <w:bottom w:val="single" w:color="000000" w:sz="4"/>
                    <w:right w:val="single" w:color="000000" w:sz="4"/>
                  </w:tcBorders>
                  <w:vAlign w:val="top"/>
                </w:tcPr>
                <w:p>
                  <w:pPr>
                    <w:jc w:val="both"/>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vAlign w:val="top"/>
                </w:tcPr>
                <w:p>
                  <w:pPr>
                    <w:numPr>
                      <w:ilvl w:val="0"/>
                      <w:numId w:val="1"/>
                    </w:numPr>
                    <w:jc w:val="both"/>
                  </w:pPr>
                  <w:r>
                    <w:rPr>
                      <w:sz w:val="21"/>
                    </w:rPr>
                    <w:t>餐具洗消严格按食安规范程序操作，消毒抽检合格率</w:t>
                  </w:r>
                  <w:r>
                    <w:rPr>
                      <w:sz w:val="21"/>
                    </w:rPr>
                    <w:t>100%（依据日常检测记录）；</w:t>
                  </w:r>
                </w:p>
                <w:p>
                  <w:pPr>
                    <w:numPr>
                      <w:ilvl w:val="0"/>
                      <w:numId w:val="1"/>
                    </w:numPr>
                    <w:jc w:val="both"/>
                  </w:pPr>
                  <w:r>
                    <w:rPr>
                      <w:sz w:val="21"/>
                    </w:rPr>
                    <w:t>食物储存规范，生熟分开，标示清晰；</w:t>
                  </w:r>
                </w:p>
                <w:p>
                  <w:pPr>
                    <w:numPr>
                      <w:ilvl w:val="0"/>
                      <w:numId w:val="1"/>
                    </w:numPr>
                    <w:jc w:val="both"/>
                  </w:pPr>
                  <w:r>
                    <w:rPr>
                      <w:sz w:val="21"/>
                    </w:rPr>
                    <w:t>清洗加工后的食材洁净无杂物；</w:t>
                  </w:r>
                </w:p>
                <w:p>
                  <w:pPr>
                    <w:numPr>
                      <w:ilvl w:val="0"/>
                      <w:numId w:val="1"/>
                    </w:numPr>
                    <w:jc w:val="both"/>
                  </w:pPr>
                  <w:r>
                    <w:rPr>
                      <w:sz w:val="21"/>
                    </w:rPr>
                    <w:t>餐具回收及厨余垃圾存放标示清晰，设施洁净，无污物、异味溢出。</w:t>
                  </w:r>
                </w:p>
              </w:tc>
              <w:tc>
                <w:tcPr>
                  <w:tcW w:type="dxa" w:w="1830"/>
                  <w:gridSpan w:val="2"/>
                  <w:tcBorders>
                    <w:top w:val="none" w:color="000000" w:sz="4"/>
                    <w:left w:val="singl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vAlign w:val="top"/>
                </w:tcPr>
                <w:p>
                  <w:pPr>
                    <w:numPr>
                      <w:ilvl w:val="0"/>
                      <w:numId w:val="1"/>
                    </w:numPr>
                    <w:jc w:val="both"/>
                  </w:pPr>
                  <w:r>
                    <w:rPr>
                      <w:sz w:val="21"/>
                    </w:rPr>
                    <w:t>验收包装食材有合法生产许可证、生产单位、地址、生产日期等，生鲜食材有检疫合格证；</w:t>
                  </w:r>
                </w:p>
                <w:p>
                  <w:pPr>
                    <w:numPr>
                      <w:ilvl w:val="0"/>
                      <w:numId w:val="1"/>
                    </w:numPr>
                    <w:jc w:val="both"/>
                  </w:pPr>
                  <w:r>
                    <w:rPr>
                      <w:sz w:val="21"/>
                    </w:rPr>
                    <w:t>存储食材均在保质期内；</w:t>
                  </w:r>
                </w:p>
                <w:p>
                  <w:pPr>
                    <w:numPr>
                      <w:ilvl w:val="0"/>
                      <w:numId w:val="1"/>
                    </w:numPr>
                    <w:jc w:val="both"/>
                  </w:pPr>
                  <w:r>
                    <w:rPr>
                      <w:sz w:val="21"/>
                    </w:rPr>
                    <w:t>库存食材存放有防潮措施，无虫害、变质；</w:t>
                  </w:r>
                </w:p>
                <w:p>
                  <w:pPr>
                    <w:jc w:val="both"/>
                  </w:pPr>
                  <w:r>
                    <w:rPr>
                      <w:b/>
                      <w:sz w:val="21"/>
                    </w:rPr>
                    <w:t>4.</w:t>
                  </w:r>
                  <w:r>
                    <w:rPr>
                      <w:sz w:val="21"/>
                    </w:rPr>
                    <w:t>有规范的品类标识；</w:t>
                  </w:r>
                </w:p>
                <w:p>
                  <w:pPr>
                    <w:jc w:val="both"/>
                  </w:pPr>
                  <w:r>
                    <w:rPr>
                      <w:b/>
                      <w:sz w:val="21"/>
                    </w:rPr>
                    <w:t>5.</w:t>
                  </w:r>
                  <w:r>
                    <w:rPr>
                      <w:sz w:val="21"/>
                    </w:rPr>
                    <w:t>仓库台账完善。</w:t>
                  </w:r>
                </w:p>
              </w:tc>
              <w:tc>
                <w:tcPr>
                  <w:tcW w:type="dxa" w:w="1830"/>
                  <w:gridSpan w:val="2"/>
                  <w:tcBorders>
                    <w:top w:val="none" w:color="000000" w:sz="4"/>
                    <w:left w:val="singl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vMerge/>
                  <w:tcBorders>
                    <w:top w:val="none" w:color="000000" w:sz="4"/>
                    <w:left w:val="single" w:color="000000" w:sz="4"/>
                    <w:bottom w:val="single" w:color="000000" w:sz="4"/>
                    <w:right w:val="single" w:color="000000" w:sz="4"/>
                  </w:tcBorders>
                </w:tcPr>
                <w:p/>
              </w:tc>
              <w:tc>
                <w:tcPr>
                  <w:tcW w:type="dxa" w:w="2101"/>
                  <w:tcBorders>
                    <w:top w:val="none" w:color="000000" w:sz="4"/>
                    <w:left w:val="single" w:color="000000" w:sz="4"/>
                    <w:bottom w:val="single" w:color="000000" w:sz="4"/>
                    <w:right w:val="single" w:color="000000" w:sz="4"/>
                  </w:tcBorders>
                  <w:vAlign w:val="top"/>
                </w:tcPr>
                <w:p>
                  <w:pPr>
                    <w:numPr>
                      <w:ilvl w:val="0"/>
                      <w:numId w:val="1"/>
                    </w:numPr>
                    <w:jc w:val="both"/>
                  </w:pPr>
                  <w:r>
                    <w:rPr>
                      <w:sz w:val="21"/>
                    </w:rPr>
                    <w:t>根据采购人三甲评审要求完成各类检查、记录和培训演练，以及工作记录、总结、报告等文档建档完善工作；</w:t>
                  </w:r>
                </w:p>
                <w:p>
                  <w:pPr>
                    <w:jc w:val="both"/>
                  </w:pPr>
                  <w:r>
                    <w:rPr>
                      <w:b/>
                      <w:sz w:val="21"/>
                    </w:rPr>
                    <w:t>2.</w:t>
                  </w:r>
                  <w:r>
                    <w:rPr>
                      <w:sz w:val="21"/>
                    </w:rPr>
                    <w:t>食堂人员能按要求熟练掌握和回答食品卫生、安全操作、应急处置相关知识。</w:t>
                  </w:r>
                </w:p>
              </w:tc>
              <w:tc>
                <w:tcPr>
                  <w:tcW w:type="dxa" w:w="1830"/>
                  <w:gridSpan w:val="2"/>
                  <w:tcBorders>
                    <w:top w:val="none" w:color="000000" w:sz="4"/>
                    <w:left w:val="single" w:color="000000" w:sz="4"/>
                    <w:bottom w:val="single" w:color="000000" w:sz="4"/>
                    <w:right w:val="single" w:color="000000" w:sz="4"/>
                  </w:tcBorders>
                  <w:vAlign w:val="top"/>
                </w:tcPr>
                <w:p>
                  <w:pPr>
                    <w:jc w:val="both"/>
                  </w:pPr>
                  <w:r>
                    <w:rPr>
                      <w:sz w:val="21"/>
                    </w:rPr>
                    <w:t>日常检查不合规项每项扣</w:t>
                  </w:r>
                  <w:r>
                    <w:rPr>
                      <w:sz w:val="21"/>
                    </w:rPr>
                    <w:t>2分， 评审期内不合规项每项扣10分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tcBorders>
                    <w:top w:val="none" w:color="000000" w:sz="4"/>
                    <w:left w:val="single" w:color="000000" w:sz="4"/>
                    <w:bottom w:val="single" w:color="000000" w:sz="4"/>
                    <w:right w:val="single" w:color="000000" w:sz="4"/>
                  </w:tcBorders>
                  <w:vAlign w:val="top"/>
                </w:tcPr>
                <w:p>
                  <w:pPr>
                    <w:jc w:val="center"/>
                  </w:pPr>
                  <w:r>
                    <w:rPr>
                      <w:b/>
                      <w:sz w:val="21"/>
                    </w:rPr>
                    <w:t>服务满意度（</w:t>
                  </w:r>
                  <w:r>
                    <w:rPr>
                      <w:b/>
                      <w:sz w:val="21"/>
                    </w:rPr>
                    <w:t>30分）</w:t>
                  </w:r>
                </w:p>
              </w:tc>
              <w:tc>
                <w:tcPr>
                  <w:tcW w:type="dxa" w:w="2101"/>
                  <w:tcBorders>
                    <w:top w:val="none" w:color="000000" w:sz="4"/>
                    <w:left w:val="single" w:color="000000" w:sz="4"/>
                    <w:bottom w:val="single" w:color="000000" w:sz="4"/>
                    <w:right w:val="single" w:color="000000" w:sz="4"/>
                  </w:tcBorders>
                  <w:vAlign w:val="top"/>
                </w:tcPr>
                <w:p>
                  <w:pPr>
                    <w:jc w:val="both"/>
                  </w:pPr>
                  <w:r>
                    <w:rPr>
                      <w:sz w:val="21"/>
                    </w:rPr>
                    <w:t>月度职工及患者满意度调查均值</w:t>
                  </w:r>
                  <w:r>
                    <w:rPr>
                      <w:sz w:val="21"/>
                    </w:rPr>
                    <w:t>≥80%</w:t>
                  </w:r>
                </w:p>
              </w:tc>
              <w:tc>
                <w:tcPr>
                  <w:tcW w:type="dxa" w:w="1830"/>
                  <w:gridSpan w:val="2"/>
                  <w:tcBorders>
                    <w:top w:val="none" w:color="000000" w:sz="4"/>
                    <w:left w:val="single" w:color="000000" w:sz="4"/>
                    <w:bottom w:val="single" w:color="000000" w:sz="4"/>
                    <w:right w:val="single" w:color="000000" w:sz="4"/>
                  </w:tcBorders>
                  <w:vAlign w:val="top"/>
                </w:tcPr>
                <w:p>
                  <w:pPr>
                    <w:jc w:val="both"/>
                  </w:pPr>
                  <w:r>
                    <w:rPr>
                      <w:sz w:val="21"/>
                    </w:rPr>
                    <w:t>满意度低于</w:t>
                  </w:r>
                  <w:r>
                    <w:rPr>
                      <w:sz w:val="21"/>
                    </w:rPr>
                    <w:t>80%（不含）扣10分，低于70%扣20分，低于60%扣30分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730"/>
                  <w:tcBorders>
                    <w:top w:val="none" w:color="000000" w:sz="4"/>
                    <w:left w:val="single" w:color="000000" w:sz="4"/>
                    <w:bottom w:val="single" w:color="000000" w:sz="4"/>
                    <w:right w:val="single" w:color="000000" w:sz="4"/>
                  </w:tcBorders>
                  <w:vAlign w:val="top"/>
                </w:tcPr>
                <w:p>
                  <w:pPr>
                    <w:jc w:val="center"/>
                  </w:pPr>
                  <w:r>
                    <w:rPr>
                      <w:b/>
                      <w:sz w:val="21"/>
                    </w:rPr>
                    <w:t>加分项</w:t>
                  </w:r>
                </w:p>
              </w:tc>
              <w:tc>
                <w:tcPr>
                  <w:tcW w:type="dxa" w:w="2101"/>
                  <w:tcBorders>
                    <w:top w:val="none" w:color="000000" w:sz="4"/>
                    <w:left w:val="single" w:color="000000" w:sz="4"/>
                    <w:bottom w:val="single" w:color="000000" w:sz="4"/>
                    <w:right w:val="single" w:color="000000" w:sz="4"/>
                  </w:tcBorders>
                  <w:vAlign w:val="top"/>
                </w:tcPr>
                <w:p>
                  <w:pPr>
                    <w:numPr>
                      <w:ilvl w:val="0"/>
                      <w:numId w:val="1"/>
                    </w:numPr>
                    <w:jc w:val="both"/>
                  </w:pPr>
                  <w:r>
                    <w:rPr>
                      <w:sz w:val="21"/>
                    </w:rPr>
                    <w:t>经采购人监管部门核实，本单位职工、患者对食堂服务突出的优秀事迹予以表彰。</w:t>
                  </w:r>
                </w:p>
                <w:p>
                  <w:pPr>
                    <w:jc w:val="both"/>
                  </w:pPr>
                  <w:r>
                    <w:rPr>
                      <w:sz w:val="21"/>
                    </w:rPr>
                    <w:t>2</w:t>
                  </w:r>
                  <w:r>
                    <w:rPr>
                      <w:sz w:val="21"/>
                    </w:rPr>
                    <w:t>、</w:t>
                  </w:r>
                  <w:r>
                    <w:rPr>
                      <w:sz w:val="21"/>
                    </w:rPr>
                    <w:t>服务满意度均值</w:t>
                  </w:r>
                  <w:r>
                    <w:rPr>
                      <w:sz w:val="21"/>
                    </w:rPr>
                    <w:t>&gt;90%</w:t>
                  </w:r>
                </w:p>
              </w:tc>
              <w:tc>
                <w:tcPr>
                  <w:tcW w:type="dxa" w:w="1830"/>
                  <w:gridSpan w:val="2"/>
                  <w:tcBorders>
                    <w:top w:val="none" w:color="000000" w:sz="4"/>
                    <w:left w:val="single" w:color="000000" w:sz="4"/>
                    <w:bottom w:val="single" w:color="000000" w:sz="4"/>
                    <w:right w:val="single" w:color="000000" w:sz="4"/>
                  </w:tcBorders>
                  <w:vAlign w:val="top"/>
                </w:tcPr>
                <w:p>
                  <w:pPr>
                    <w:jc w:val="center"/>
                  </w:pPr>
                  <w:r>
                    <w:rPr>
                      <w:sz w:val="21"/>
                    </w:rPr>
                    <w:t>每项加</w:t>
                  </w:r>
                  <w:r>
                    <w:rPr>
                      <w:sz w:val="21"/>
                    </w:rPr>
                    <w:t>2分</w:t>
                  </w:r>
                </w:p>
              </w:tc>
              <w:tc>
                <w:tcPr>
                  <w:tcW w:type="dxa" w:w="486"/>
                  <w:tcBorders>
                    <w:top w:val="none" w:color="000000" w:sz="4"/>
                    <w:left w:val="single" w:color="000000" w:sz="4"/>
                    <w:bottom w:val="single" w:color="000000" w:sz="4"/>
                    <w:right w:val="single" w:color="000000" w:sz="4"/>
                  </w:tcBorders>
                  <w:vAlign w:val="top"/>
                </w:tcPr>
                <w:p>
                  <w:pPr>
                    <w:jc w:val="center"/>
                  </w:pPr>
                </w:p>
              </w:tc>
              <w:tc>
                <w:tcPr>
                  <w:tcW w:type="dxa" w:w="450"/>
                  <w:tcBorders>
                    <w:top w:val="none" w:color="000000" w:sz="4"/>
                    <w:left w:val="single" w:color="000000" w:sz="4"/>
                    <w:bottom w:val="single" w:color="000000" w:sz="4"/>
                    <w:right w:val="single" w:color="000000" w:sz="4"/>
                  </w:tcBorders>
                  <w:vAlign w:val="top"/>
                </w:tcPr>
                <w:p>
                  <w:pPr>
                    <w:jc w:val="center"/>
                  </w:pPr>
                </w:p>
              </w:tc>
            </w:tr>
            <w:tr>
              <w:tc>
                <w:tcPr>
                  <w:tcW w:type="dxa" w:w="4661"/>
                  <w:gridSpan w:val="4"/>
                  <w:tcBorders>
                    <w:top w:val="none" w:color="000000" w:sz="4"/>
                    <w:left w:val="single" w:color="000000" w:sz="4"/>
                    <w:bottom w:val="single" w:color="000000" w:sz="4"/>
                    <w:right w:val="single" w:color="000000" w:sz="4"/>
                  </w:tcBorders>
                  <w:vAlign w:val="top"/>
                </w:tcPr>
                <w:p>
                  <w:pPr>
                    <w:jc w:val="center"/>
                  </w:pPr>
                  <w:r>
                    <w:rPr>
                      <w:b/>
                      <w:sz w:val="21"/>
                    </w:rPr>
                    <w:t>当月综合考评得分</w:t>
                  </w:r>
                </w:p>
              </w:tc>
              <w:tc>
                <w:tcPr>
                  <w:tcW w:type="dxa" w:w="936"/>
                  <w:gridSpan w:val="2"/>
                  <w:tcBorders>
                    <w:top w:val="none" w:color="000000" w:sz="4"/>
                    <w:left w:val="single" w:color="000000" w:sz="4"/>
                    <w:bottom w:val="single" w:color="000000" w:sz="4"/>
                    <w:right w:val="single" w:color="000000" w:sz="4"/>
                  </w:tcBorders>
                  <w:vAlign w:val="top"/>
                </w:tcPr>
                <w:p>
                  <w:pPr>
                    <w:jc w:val="both"/>
                  </w:pPr>
                </w:p>
              </w:tc>
            </w:tr>
            <w:tr>
              <w:tc>
                <w:tcPr>
                  <w:tcW w:type="dxa" w:w="5597"/>
                  <w:gridSpan w:val="6"/>
                  <w:tcBorders>
                    <w:top w:val="none" w:color="000000" w:sz="4"/>
                    <w:left w:val="single" w:color="000000" w:sz="4"/>
                    <w:bottom w:val="single" w:color="000000" w:sz="4"/>
                    <w:right w:val="single" w:color="000000" w:sz="4"/>
                  </w:tcBorders>
                  <w:vAlign w:val="top"/>
                </w:tcPr>
                <w:p>
                  <w:pPr>
                    <w:jc w:val="left"/>
                  </w:pPr>
                  <w:r>
                    <w:rPr>
                      <w:sz w:val="21"/>
                    </w:rPr>
                    <w:t>考核结算标准：中标供应商月度综合考评结果＜</w:t>
                  </w:r>
                  <w:r>
                    <w:rPr>
                      <w:sz w:val="21"/>
                    </w:rPr>
                    <w:t>75分，采购人除提出警告及由中标供应商提交整改报告外，考评当月的服务费按当月核定费用*（1-5%） 结算；若当月考评结果＜70分，除提出警告及由中标供应商提交整改报告外，考评当月服务费按当月核定费用*（1-10%）结算；若当月考评结果＜60分，除提出警告及由中标供应商提交整改报告外，考评当月服务费按当月核定费用*（1-15%）结算；如月度考评连续两月＜60分，采购人除按约定扣减服务费外，有权单方终止合同，责令中标供应商限期无条件撤场。</w:t>
                  </w:r>
                </w:p>
              </w:tc>
            </w:tr>
            <w:tr>
              <w:tc>
                <w:tcPr>
                  <w:tcW w:type="dxa" w:w="3746"/>
                  <w:gridSpan w:val="3"/>
                  <w:tcBorders>
                    <w:top w:val="none" w:color="000000" w:sz="4"/>
                    <w:left w:val="single" w:color="000000" w:sz="4"/>
                    <w:bottom w:val="single" w:color="000000" w:sz="4"/>
                    <w:right w:val="single" w:color="000000" w:sz="4"/>
                  </w:tcBorders>
                  <w:vAlign w:val="top"/>
                </w:tcPr>
                <w:p>
                  <w:pPr>
                    <w:jc w:val="both"/>
                  </w:pPr>
                  <w:r>
                    <w:rPr>
                      <w:sz w:val="21"/>
                    </w:rPr>
                    <w:t>采购人签名</w:t>
                  </w:r>
                </w:p>
              </w:tc>
              <w:tc>
                <w:tcPr>
                  <w:tcW w:type="dxa" w:w="1851"/>
                  <w:gridSpan w:val="3"/>
                  <w:tcBorders>
                    <w:top w:val="single" w:color="000000" w:sz="4"/>
                    <w:left w:val="single" w:color="000000" w:sz="4"/>
                    <w:bottom w:val="single" w:color="000000" w:sz="4"/>
                    <w:right w:val="single" w:color="000000" w:sz="4"/>
                  </w:tcBorders>
                  <w:vAlign w:val="top"/>
                </w:tcPr>
                <w:p>
                  <w:pPr>
                    <w:jc w:val="both"/>
                  </w:pPr>
                  <w:r>
                    <w:rPr>
                      <w:sz w:val="21"/>
                    </w:rPr>
                    <w:t>中标供应商签名</w:t>
                  </w:r>
                </w:p>
              </w:tc>
            </w:tr>
          </w:tbl>
          <w:p>
            <w:pPr>
              <w:jc w:val="both"/>
            </w:pPr>
          </w:p>
          <w:p>
            <w:pPr>
              <w:jc w:val="both"/>
            </w:pP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广东省工伤康复中心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年度采购预算金额为计算基数参照国家计委颁布的（计价格【2002】1980号）及国家发改委颁布的（发改办价格【2003】857号）收费标准的70%（即下浮30%）进行计算收取30个月的服务费。招标代理服务费由中标供应商在领取《中标通知书》前一次性向采购代理机构交纳以下金额： ￥53,582.00元（大写：人民币伍万叁仟伍佰捌拾贰元整）。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吕永珊、伍梁敏</w:t>
      </w:r>
    </w:p>
    <w:p>
      <w:pPr>
        <w:ind w:firstLine="480"/>
      </w:pPr>
      <w:r>
        <w:rPr/>
        <w:t>电话：</w:t>
      </w:r>
      <w:r>
        <w:rPr/>
        <w:t>020-37814404、020-87687030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采购包1(广州院区食堂服务管理)：综合评分法,是指投标文件满足招标文件全部实质性要求，且按照评审因素的量化指标评审得分最高的投标人为中标候选人的评标方法。（最低报价不是中标的唯一依据。）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采购包1（广州院区食堂服务管理）：</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采购包1（广州院区食堂服务管理）：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特定资格要求（具有有效的《食品经营许可证》）</w:t>
            </w:r>
          </w:p>
        </w:tc>
        <w:tc>
          <w:tcPr>
            <w:tcW w:type="dxa" w:w="4238"/>
          </w:tcPr>
          <w:p>
            <w:r>
              <w:rPr/>
              <w:t>具有有效的《食品经营许可证》（提供有效期内的证书复印件，如国家另有规定，则适用其规定）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采购包1（广州院区食堂服务管理）：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采购包1(广州院区食堂服务管理):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拟为本项目派驻人员配置方案（一） (3.0分)</w:t>
            </w:r>
          </w:p>
        </w:tc>
        <w:tc>
          <w:tcPr>
            <w:tcW w:type="dxa" w:w="5076"/>
          </w:tcPr>
          <w:p>
            <w:pPr>
              <w:jc w:val="left"/>
            </w:pPr>
            <w:r>
              <w:rPr/>
              <w:t>投标人拟派到采购人单位的分店经理： （1）具有餐饮业高级餐饮职业经理人证书得1分，无不得分。 （2）具有高级（三级）或以上健康管理师得1分，无不得分。 （3）具有高级（三级）或以上营养配餐员证书得1分，无不得分。 注：须提供有效的资格证书复印件，不提供或专家无法判定不得分。</w:t>
            </w:r>
          </w:p>
        </w:tc>
      </w:tr>
      <w:tr>
        <w:tc>
          <w:tcPr>
            <w:tcW w:type="dxa" w:w="922"/>
            <w:gridSpan w:val="2"/>
            <w:vMerge/>
          </w:tcPr>
          <w:p/>
        </w:tc>
        <w:tc>
          <w:tcPr>
            <w:tcW w:type="dxa" w:w="2307"/>
          </w:tcPr>
          <w:p>
            <w:pPr>
              <w:jc w:val="left"/>
            </w:pPr>
            <w:r>
              <w:rPr/>
              <w:t>拟为本项目派驻人员配置方案（二） (2.0分)</w:t>
            </w:r>
          </w:p>
        </w:tc>
        <w:tc>
          <w:tcPr>
            <w:tcW w:type="dxa" w:w="5076"/>
          </w:tcPr>
          <w:p>
            <w:pPr>
              <w:jc w:val="left"/>
            </w:pPr>
            <w:r>
              <w:rPr/>
              <w:t>投标人拟派到采购人单位的厨师长具有一级（高级技师）中式烹调师证书的得2分，没有不得分。 注：须提供有效的资格证书复印件，不提供或专家无法判定不得分。</w:t>
            </w:r>
          </w:p>
        </w:tc>
      </w:tr>
      <w:tr>
        <w:tc>
          <w:tcPr>
            <w:tcW w:type="dxa" w:w="922"/>
            <w:gridSpan w:val="2"/>
            <w:vMerge/>
          </w:tcPr>
          <w:p/>
        </w:tc>
        <w:tc>
          <w:tcPr>
            <w:tcW w:type="dxa" w:w="2307"/>
          </w:tcPr>
          <w:p>
            <w:pPr>
              <w:jc w:val="left"/>
            </w:pPr>
            <w:r>
              <w:rPr/>
              <w:t>拟为本项目派驻人员配置方案（三） (4.0分)</w:t>
            </w:r>
          </w:p>
        </w:tc>
        <w:tc>
          <w:tcPr>
            <w:tcW w:type="dxa" w:w="5076"/>
          </w:tcPr>
          <w:p>
            <w:pPr>
              <w:jc w:val="left"/>
            </w:pPr>
            <w:r>
              <w:rPr/>
              <w:t>投标人拟派到采购人单位的团队中其他人员（分店经理和厨师长除外）： （1）具有一级（高级技师）中式烹调师证书得2分，二级（技师）或三级（高级）中式烹调师证书得1分。其他不得分。 （2）具有营养配餐员证书得1分，无得0分。 （3）具有食品安全管理员证书，得1分，无得0分。 本项累计最高得4分，同一人提供多项证书的不重复计分，按最高分项进行计算。 注：须提供证书复印件，不提供或专家无法判定不得分。</w:t>
            </w:r>
          </w:p>
        </w:tc>
      </w:tr>
      <w:tr>
        <w:tc>
          <w:tcPr>
            <w:tcW w:type="dxa" w:w="922"/>
            <w:gridSpan w:val="2"/>
            <w:vMerge/>
          </w:tcPr>
          <w:p/>
        </w:tc>
        <w:tc>
          <w:tcPr>
            <w:tcW w:type="dxa" w:w="2307"/>
          </w:tcPr>
          <w:p>
            <w:pPr>
              <w:jc w:val="left"/>
            </w:pPr>
            <w:r>
              <w:rPr/>
              <w:t>供餐服务方案（一） (2.0分)</w:t>
            </w:r>
          </w:p>
        </w:tc>
        <w:tc>
          <w:tcPr>
            <w:tcW w:type="dxa" w:w="5076"/>
          </w:tcPr>
          <w:p>
            <w:pPr>
              <w:jc w:val="left"/>
            </w:pPr>
            <w:r>
              <w:rPr/>
              <w:t>评标委员会根据投标人提供的供餐服务方案进行综合评价，方案应包括： （1）每周菜单； （2）荤素搭配； （3）营养配比； （4）菜品种类。 注：提供全部内容得2分，每缺1项扣0.5分。</w:t>
            </w:r>
          </w:p>
        </w:tc>
      </w:tr>
      <w:tr>
        <w:tc>
          <w:tcPr>
            <w:tcW w:type="dxa" w:w="922"/>
            <w:gridSpan w:val="2"/>
            <w:vMerge/>
          </w:tcPr>
          <w:p/>
        </w:tc>
        <w:tc>
          <w:tcPr>
            <w:tcW w:type="dxa" w:w="2307"/>
          </w:tcPr>
          <w:p>
            <w:pPr>
              <w:jc w:val="left"/>
            </w:pPr>
            <w:r>
              <w:rPr/>
              <w:t>供餐服务方案（二） (4.0分)</w:t>
            </w:r>
            <w:r>
              <w:rPr/>
              <w:t>，（等次分值选择：</w:t>
            </w:r>
            <w:r>
              <w:rPr/>
              <w:t>0.0;</w:t>
            </w:r>
            <w:r>
              <w:rPr/>
              <w:t>1.0;</w:t>
            </w:r>
            <w:r>
              <w:rPr/>
              <w:t>2.0;</w:t>
            </w:r>
            <w:r>
              <w:rPr/>
              <w:t>3.0;</w:t>
            </w:r>
            <w:r>
              <w:rPr/>
              <w:t>4.0;</w:t>
            </w:r>
            <w:r>
              <w:rPr/>
              <w:t>）</w:t>
            </w:r>
          </w:p>
        </w:tc>
        <w:tc>
          <w:tcPr>
            <w:tcW w:type="dxa" w:w="5076"/>
          </w:tcPr>
          <w:p>
            <w:pPr>
              <w:jc w:val="left"/>
            </w:pPr>
            <w:r>
              <w:rPr/>
              <w:t>根据投标人所提供的的供餐服务方案进行综合评审： （1）每周可提供菜单及营养配比详细方案，品种多样、体现营养合理、荤素搭配的要求，高、中、低档搭配合理，得4分； （2）每周可提供菜单及营养配比方案，品种较多、营养搭配基本合理，得3分； （3）每周可提供菜单及营养配比方案，品种数量不足、营养搭配不够合理，得2分； （4）不能提供每周菜单及营养配比方案，或品种少，营养、荤素搭配不合理，无档次搭配的，得1分； （5）未提供项目服务方案不得分。</w:t>
            </w:r>
          </w:p>
        </w:tc>
      </w:tr>
      <w:tr>
        <w:tc>
          <w:tcPr>
            <w:tcW w:type="dxa" w:w="922"/>
            <w:gridSpan w:val="2"/>
            <w:vMerge/>
          </w:tcPr>
          <w:p/>
        </w:tc>
        <w:tc>
          <w:tcPr>
            <w:tcW w:type="dxa" w:w="2307"/>
          </w:tcPr>
          <w:p>
            <w:pPr>
              <w:jc w:val="left"/>
            </w:pPr>
            <w:r>
              <w:rPr/>
              <w:t>食品质量控制方案（一） (2.0分)</w:t>
            </w:r>
          </w:p>
        </w:tc>
        <w:tc>
          <w:tcPr>
            <w:tcW w:type="dxa" w:w="5076"/>
          </w:tcPr>
          <w:p>
            <w:pPr>
              <w:jc w:val="left"/>
            </w:pPr>
            <w:r>
              <w:rPr/>
              <w:t>评标委员会根据投标人提供的食品质量控制方案进行综合评价，方案应包括： （1）食品加工各个工序的控制点； （2）相关操作规程； （3）人员制度； （4）所具有的相关设备。 注：提供全部内容得2分，每缺1项扣0.5分。</w:t>
            </w:r>
          </w:p>
        </w:tc>
      </w:tr>
      <w:tr>
        <w:tc>
          <w:tcPr>
            <w:tcW w:type="dxa" w:w="922"/>
            <w:gridSpan w:val="2"/>
            <w:vMerge/>
          </w:tcPr>
          <w:p/>
        </w:tc>
        <w:tc>
          <w:tcPr>
            <w:tcW w:type="dxa" w:w="2307"/>
          </w:tcPr>
          <w:p>
            <w:pPr>
              <w:jc w:val="left"/>
            </w:pPr>
            <w:r>
              <w:rPr/>
              <w:t>食品质量控制方案（二） (4.0分)</w:t>
            </w:r>
            <w:r>
              <w:rPr/>
              <w:t>，（等次分值选择：</w:t>
            </w:r>
            <w:r>
              <w:rPr/>
              <w:t>0.0;</w:t>
            </w:r>
            <w:r>
              <w:rPr/>
              <w:t>1.0;</w:t>
            </w:r>
            <w:r>
              <w:rPr/>
              <w:t>2.0;</w:t>
            </w:r>
            <w:r>
              <w:rPr/>
              <w:t>4.0;</w:t>
            </w:r>
            <w:r>
              <w:rPr/>
              <w:t>）</w:t>
            </w:r>
          </w:p>
        </w:tc>
        <w:tc>
          <w:tcPr>
            <w:tcW w:type="dxa" w:w="5076"/>
          </w:tcPr>
          <w:p>
            <w:pPr>
              <w:jc w:val="left"/>
            </w:pPr>
            <w:r>
              <w:rPr/>
              <w:t>由评标委员会根据投标人提供的食品质量控制方案进行综合评审： （1）食品质量控制方案完整、合理性高，有效保障本项目实施，有利于实现服务效果，得4分； （2）食品质量控制方案较完整、较合理，基本保障本项目服务实施，基本满足服务效果，得2分； （3）食品质量控制方案简单，不够合理，难以保障本项目服务实施，难以达到服务效果，得1分。 （4）不提供不得分。</w:t>
            </w:r>
          </w:p>
        </w:tc>
      </w:tr>
      <w:tr>
        <w:tc>
          <w:tcPr>
            <w:tcW w:type="dxa" w:w="922"/>
            <w:gridSpan w:val="2"/>
            <w:vMerge/>
          </w:tcPr>
          <w:p/>
        </w:tc>
        <w:tc>
          <w:tcPr>
            <w:tcW w:type="dxa" w:w="2307"/>
          </w:tcPr>
          <w:p>
            <w:pPr>
              <w:jc w:val="left"/>
            </w:pPr>
            <w:r>
              <w:rPr/>
              <w:t>服务质量控制方案（一） (2.0分)</w:t>
            </w:r>
          </w:p>
        </w:tc>
        <w:tc>
          <w:tcPr>
            <w:tcW w:type="dxa" w:w="5076"/>
          </w:tcPr>
          <w:p>
            <w:pPr>
              <w:jc w:val="left"/>
            </w:pPr>
            <w:r>
              <w:rPr/>
              <w:t>评标委员会根据投标人提供的服务质量控制方案进行综合评价，方案应包括： （1）服务管理保证体系； （2）服务理念的常态化培训； （3）服务质量标准； （4）服务质量监督标准。 注：提供全部内容得2分，每缺1项扣0.5分。</w:t>
            </w:r>
          </w:p>
        </w:tc>
      </w:tr>
      <w:tr>
        <w:tc>
          <w:tcPr>
            <w:tcW w:type="dxa" w:w="922"/>
            <w:gridSpan w:val="2"/>
            <w:vMerge/>
          </w:tcPr>
          <w:p/>
        </w:tc>
        <w:tc>
          <w:tcPr>
            <w:tcW w:type="dxa" w:w="2307"/>
          </w:tcPr>
          <w:p>
            <w:pPr>
              <w:jc w:val="left"/>
            </w:pPr>
            <w:r>
              <w:rPr/>
              <w:t>服务质量控制方案（二） (4.0分)</w:t>
            </w:r>
            <w:r>
              <w:rPr/>
              <w:t>，（等次分值选择：</w:t>
            </w:r>
            <w:r>
              <w:rPr/>
              <w:t>0.0;</w:t>
            </w:r>
            <w:r>
              <w:rPr/>
              <w:t>1.0;</w:t>
            </w:r>
            <w:r>
              <w:rPr/>
              <w:t>2.0;</w:t>
            </w:r>
            <w:r>
              <w:rPr/>
              <w:t>4.0;</w:t>
            </w:r>
            <w:r>
              <w:rPr/>
              <w:t>）</w:t>
            </w:r>
          </w:p>
        </w:tc>
        <w:tc>
          <w:tcPr>
            <w:tcW w:type="dxa" w:w="5076"/>
          </w:tcPr>
          <w:p>
            <w:pPr>
              <w:jc w:val="left"/>
            </w:pPr>
            <w:r>
              <w:rPr/>
              <w:t>由评标委员会根据投标人提供的服务质量控制方案进行综合评审： （1）服务质量控制方案完整、合理性高，有效保障本项目实施，有利于实现服务效果，得4分； （2）服务质量控制方案完整、基本合理，基本保障本项目服务实施，基本满足服务效果，得2分； （3）服务质量控制方案简单，不够合理，难以保障本项目服务实施，难以达到服务效果，得1分。 （4）不提供不得分。</w:t>
            </w:r>
          </w:p>
        </w:tc>
      </w:tr>
      <w:tr>
        <w:tc>
          <w:tcPr>
            <w:tcW w:type="dxa" w:w="922"/>
            <w:gridSpan w:val="2"/>
            <w:vMerge/>
          </w:tcPr>
          <w:p/>
        </w:tc>
        <w:tc>
          <w:tcPr>
            <w:tcW w:type="dxa" w:w="2307"/>
          </w:tcPr>
          <w:p>
            <w:pPr>
              <w:jc w:val="left"/>
            </w:pPr>
            <w:r>
              <w:rPr/>
              <w:t>卫生管理控制方案（一） (2.0分)</w:t>
            </w:r>
          </w:p>
        </w:tc>
        <w:tc>
          <w:tcPr>
            <w:tcW w:type="dxa" w:w="5076"/>
          </w:tcPr>
          <w:p>
            <w:pPr>
              <w:jc w:val="left"/>
            </w:pPr>
            <w:r>
              <w:rPr/>
              <w:t>评标委员会根据投标人提供的卫生管理控制方案进行综合评价，方案应包括： （1）食品卫生； （2）人员卫生； （3）环境卫生； （4）垃圾处理方案。 注：提供全部内容得2分，每缺1项扣0.5分。</w:t>
            </w:r>
          </w:p>
        </w:tc>
      </w:tr>
      <w:tr>
        <w:tc>
          <w:tcPr>
            <w:tcW w:type="dxa" w:w="922"/>
            <w:gridSpan w:val="2"/>
            <w:vMerge/>
          </w:tcPr>
          <w:p/>
        </w:tc>
        <w:tc>
          <w:tcPr>
            <w:tcW w:type="dxa" w:w="2307"/>
          </w:tcPr>
          <w:p>
            <w:pPr>
              <w:jc w:val="left"/>
            </w:pPr>
            <w:r>
              <w:rPr/>
              <w:t>卫生管理控制方案（二） (4.0分)</w:t>
            </w:r>
            <w:r>
              <w:rPr/>
              <w:t>，（等次分值选择：</w:t>
            </w:r>
            <w:r>
              <w:rPr/>
              <w:t>0.0;</w:t>
            </w:r>
            <w:r>
              <w:rPr/>
              <w:t>1.0;</w:t>
            </w:r>
            <w:r>
              <w:rPr/>
              <w:t>2.0;</w:t>
            </w:r>
            <w:r>
              <w:rPr/>
              <w:t>4.0;</w:t>
            </w:r>
            <w:r>
              <w:rPr/>
              <w:t>）</w:t>
            </w:r>
          </w:p>
        </w:tc>
        <w:tc>
          <w:tcPr>
            <w:tcW w:type="dxa" w:w="5076"/>
          </w:tcPr>
          <w:p>
            <w:pPr>
              <w:jc w:val="left"/>
            </w:pPr>
            <w:r>
              <w:rPr/>
              <w:t>由评标委员会根据投标人提供的卫生管理控制方案进行综合评审： （1）卫生管理控制方案完整、合理性高，有效保障本项目实施，有利于实现服务效果，得4分； （2）卫生管理控制方案完整、基本合理，基本保障本项目服务实施，基本满足服务效果，得2分； （3）卫生管理控制方案简单，不够合理，难以保障本项目服务实施，难以达到服务效果，得1分。 （4）不提供不得分。</w:t>
            </w:r>
          </w:p>
        </w:tc>
      </w:tr>
      <w:tr>
        <w:tc>
          <w:tcPr>
            <w:tcW w:type="dxa" w:w="922"/>
            <w:gridSpan w:val="2"/>
            <w:vMerge/>
          </w:tcPr>
          <w:p/>
        </w:tc>
        <w:tc>
          <w:tcPr>
            <w:tcW w:type="dxa" w:w="2307"/>
          </w:tcPr>
          <w:p>
            <w:pPr>
              <w:jc w:val="left"/>
            </w:pPr>
            <w:r>
              <w:rPr/>
              <w:t>食品安全管理方案（一） (2.0分)</w:t>
            </w:r>
          </w:p>
        </w:tc>
        <w:tc>
          <w:tcPr>
            <w:tcW w:type="dxa" w:w="5076"/>
          </w:tcPr>
          <w:p>
            <w:pPr>
              <w:jc w:val="left"/>
            </w:pPr>
            <w:r>
              <w:rPr/>
              <w:t>评标委员会根据投标人提供的食品安全管理方案进行综合评价，方案应包括： （1）食品仓库完善的管理制度； （2）生产过程中规范的制度； （3）售卖环节卫生制度； （4）食品用具清洗消毒制度及卫生检查制度。 注：提供全部内容得2分，每缺1项扣0.5分。</w:t>
            </w:r>
          </w:p>
        </w:tc>
      </w:tr>
      <w:tr>
        <w:tc>
          <w:tcPr>
            <w:tcW w:type="dxa" w:w="922"/>
            <w:gridSpan w:val="2"/>
            <w:vMerge/>
          </w:tcPr>
          <w:p/>
        </w:tc>
        <w:tc>
          <w:tcPr>
            <w:tcW w:type="dxa" w:w="2307"/>
          </w:tcPr>
          <w:p>
            <w:pPr>
              <w:jc w:val="left"/>
            </w:pPr>
            <w:r>
              <w:rPr/>
              <w:t>食品安全管理方案（二） (4.0分)</w:t>
            </w:r>
            <w:r>
              <w:rPr/>
              <w:t>，（等次分值选择：</w:t>
            </w:r>
            <w:r>
              <w:rPr/>
              <w:t>0.0;</w:t>
            </w:r>
            <w:r>
              <w:rPr/>
              <w:t>1.0;</w:t>
            </w:r>
            <w:r>
              <w:rPr/>
              <w:t>2.0;</w:t>
            </w:r>
            <w:r>
              <w:rPr/>
              <w:t>4.0;</w:t>
            </w:r>
            <w:r>
              <w:rPr/>
              <w:t>）</w:t>
            </w:r>
          </w:p>
        </w:tc>
        <w:tc>
          <w:tcPr>
            <w:tcW w:type="dxa" w:w="5076"/>
          </w:tcPr>
          <w:p>
            <w:pPr>
              <w:jc w:val="left"/>
            </w:pPr>
            <w:r>
              <w:rPr/>
              <w:t>由评标委员会根据投标人提供的食品安全管理方案进行评审：  （1）食品安全管理方案完整、合理性高，有效保障本项目实施，有利于实现服务效果，得4分； （2）食品安全管理方案完整、基本合理，基本保障本项目服务实施，基本满足服务效果，得2分； （3）食品安全管理方案较简单，不够合理，难以保障本项目服务实施，难以达到服务效果，得1分。 （4）不提供不得分。</w:t>
            </w:r>
          </w:p>
        </w:tc>
      </w:tr>
      <w:tr>
        <w:tc>
          <w:tcPr>
            <w:tcW w:type="dxa" w:w="922"/>
            <w:gridSpan w:val="2"/>
            <w:vMerge/>
          </w:tcPr>
          <w:p/>
        </w:tc>
        <w:tc>
          <w:tcPr>
            <w:tcW w:type="dxa" w:w="2307"/>
          </w:tcPr>
          <w:p>
            <w:pPr>
              <w:jc w:val="left"/>
            </w:pPr>
            <w:r>
              <w:rPr/>
              <w:t>突发情况应急预案（一） (2.0分)</w:t>
            </w:r>
          </w:p>
        </w:tc>
        <w:tc>
          <w:tcPr>
            <w:tcW w:type="dxa" w:w="5076"/>
          </w:tcPr>
          <w:p>
            <w:pPr>
              <w:jc w:val="left"/>
            </w:pPr>
            <w:r>
              <w:rPr/>
              <w:t>评标委员会根据投标人提供的突发情况应急预案进行综合评价，方案应包括： （1）停电、停水、停气、食物中毒事故应急处理； （2）消防事故应急处理； （3）断餐应急处理； （4）盗窃应急处理及打架斗殴应急处理。 注：提供全部内容得2分，每缺1项扣0.5分。</w:t>
            </w:r>
          </w:p>
        </w:tc>
      </w:tr>
      <w:tr>
        <w:tc>
          <w:tcPr>
            <w:tcW w:type="dxa" w:w="922"/>
            <w:gridSpan w:val="2"/>
            <w:vMerge/>
          </w:tcPr>
          <w:p/>
        </w:tc>
        <w:tc>
          <w:tcPr>
            <w:tcW w:type="dxa" w:w="2307"/>
          </w:tcPr>
          <w:p>
            <w:pPr>
              <w:jc w:val="left"/>
            </w:pPr>
            <w:r>
              <w:rPr/>
              <w:t>突发情况应急预案（二） (4.0分)</w:t>
            </w:r>
            <w:r>
              <w:rPr/>
              <w:t>，（等次分值选择：</w:t>
            </w:r>
            <w:r>
              <w:rPr/>
              <w:t>0.0;</w:t>
            </w:r>
            <w:r>
              <w:rPr/>
              <w:t>1.0;</w:t>
            </w:r>
            <w:r>
              <w:rPr/>
              <w:t>2.0;</w:t>
            </w:r>
            <w:r>
              <w:rPr/>
              <w:t>4.0;</w:t>
            </w:r>
            <w:r>
              <w:rPr/>
              <w:t>）</w:t>
            </w:r>
          </w:p>
        </w:tc>
        <w:tc>
          <w:tcPr>
            <w:tcW w:type="dxa" w:w="5076"/>
          </w:tcPr>
          <w:p>
            <w:pPr>
              <w:jc w:val="left"/>
            </w:pPr>
            <w:r>
              <w:rPr/>
              <w:t>由评标委员会根据投标人提供的突发情况应急预案进行综合评审： （1）突发情况应急预案完整、科学合理，有效保障本项目实施，有利于实现服务效果，得4分， （2）突发情况应急预案完整、基本合理，基本保障本项目服务实施，基本满足服务效果，得2分， （3）突发情况应急预案不够合理，难以保障本项目服务实施，难以达到服务效果，得1分。 （4）不提供不得分。</w:t>
            </w:r>
          </w:p>
        </w:tc>
      </w:tr>
      <w:tr>
        <w:tc>
          <w:tcPr>
            <w:tcW w:type="dxa" w:w="922"/>
            <w:gridSpan w:val="2"/>
            <w:vMerge w:val="restart"/>
          </w:tcPr>
          <w:p>
            <w:pPr>
              <w:jc w:val="center"/>
            </w:pPr>
            <w:r>
              <w:rPr/>
              <w:t>商务部分</w:t>
            </w:r>
          </w:p>
        </w:tc>
        <w:tc>
          <w:tcPr>
            <w:tcW w:type="dxa" w:w="2307"/>
          </w:tcPr>
          <w:p>
            <w:pPr>
              <w:jc w:val="left"/>
            </w:pPr>
            <w:r>
              <w:rPr/>
              <w:t>投标人通过相关体系认证情况 (5.0分)</w:t>
            </w:r>
          </w:p>
        </w:tc>
        <w:tc>
          <w:tcPr>
            <w:tcW w:type="dxa" w:w="5076"/>
          </w:tcPr>
          <w:p>
            <w:pPr>
              <w:jc w:val="left"/>
            </w:pPr>
            <w:r>
              <w:rPr/>
              <w:t>（1）通过质量管理体系认证得1分。 （2）通过环境管理体系认证得1分。 （3）通过食品安全管理体系认证得1分。 （4）通过职业健康安全管理体系认证得1分。 （5）通过HACCP体系认证得1分。 注：提交有效期内的证书复印件，不提供或评标委员会无法判定不得分。</w:t>
            </w:r>
          </w:p>
        </w:tc>
      </w:tr>
      <w:tr>
        <w:tc>
          <w:tcPr>
            <w:tcW w:type="dxa" w:w="922"/>
            <w:gridSpan w:val="2"/>
            <w:vMerge/>
          </w:tcPr>
          <w:p/>
        </w:tc>
        <w:tc>
          <w:tcPr>
            <w:tcW w:type="dxa" w:w="2307"/>
          </w:tcPr>
          <w:p>
            <w:pPr>
              <w:jc w:val="left"/>
            </w:pPr>
            <w:r>
              <w:rPr/>
              <w:t>餐饮责任险 (6.0分)</w:t>
            </w:r>
          </w:p>
        </w:tc>
        <w:tc>
          <w:tcPr>
            <w:tcW w:type="dxa" w:w="5076"/>
          </w:tcPr>
          <w:p>
            <w:pPr>
              <w:jc w:val="left"/>
            </w:pPr>
            <w:r>
              <w:rPr/>
              <w:t>（1）投标人承诺为本项目购买有效的公众责任保险单： 承诺单份保险年度赔付额为600万元人民币（含）或以上的得3分； 承诺单份保险年度赔付额为500万元人民币（不含）-600万元人民币（不含）的得1分； 承诺单份保险年度赔付额为500万元人民币（含）或其他情况不得分。 （2）投标人承诺为本项目购买有效的食品安全责任保险单： 承诺单份保险年度赔付额为600万元人民币（含）或以上的得3分； 承诺单份保险年度赔付额为500万元人民币（不含）-600万元人民币（不含）的得1分； 承诺单份保险年度赔付额为500万元人民币（含）或其他情况不得分。 注：提供书面承诺函，不提供或评标委员会无法判定不得分。</w:t>
            </w:r>
          </w:p>
        </w:tc>
      </w:tr>
      <w:tr>
        <w:tc>
          <w:tcPr>
            <w:tcW w:type="dxa" w:w="922"/>
            <w:gridSpan w:val="2"/>
            <w:vMerge/>
          </w:tcPr>
          <w:p/>
        </w:tc>
        <w:tc>
          <w:tcPr>
            <w:tcW w:type="dxa" w:w="2307"/>
          </w:tcPr>
          <w:p>
            <w:pPr>
              <w:jc w:val="left"/>
            </w:pPr>
            <w:r>
              <w:rPr/>
              <w:t>管理实力 (4.0分)</w:t>
            </w:r>
          </w:p>
        </w:tc>
        <w:tc>
          <w:tcPr>
            <w:tcW w:type="dxa" w:w="5076"/>
          </w:tcPr>
          <w:p>
            <w:pPr>
              <w:jc w:val="left"/>
            </w:pPr>
            <w:r>
              <w:rPr/>
              <w:t>投标人过往完成的项目，有被食品药品监督管理部门评定为餐饮服务食品安全量化等级A级，每项目得1分，此项满分为4分。 注：需提供相关证明文件复印件，不提供或评标委员会无法判定不得分。</w:t>
            </w:r>
          </w:p>
        </w:tc>
      </w:tr>
      <w:tr>
        <w:tc>
          <w:tcPr>
            <w:tcW w:type="dxa" w:w="922"/>
            <w:gridSpan w:val="2"/>
            <w:vMerge/>
          </w:tcPr>
          <w:p/>
        </w:tc>
        <w:tc>
          <w:tcPr>
            <w:tcW w:type="dxa" w:w="2307"/>
          </w:tcPr>
          <w:p>
            <w:pPr>
              <w:jc w:val="left"/>
            </w:pPr>
            <w:r>
              <w:rPr/>
              <w:t>同类项目管理经验 (10.0分)</w:t>
            </w:r>
          </w:p>
        </w:tc>
        <w:tc>
          <w:tcPr>
            <w:tcW w:type="dxa" w:w="5076"/>
          </w:tcPr>
          <w:p>
            <w:pPr>
              <w:jc w:val="left"/>
            </w:pPr>
            <w:r>
              <w:rPr/>
              <w:t>投标人能提供2020年1月1日至今的饭堂经营管理合同，每个得1分，满分10分，仅涉及食材采购，不涉及饭堂委托管理服务的不得分。  注：以合同签订时间为准，提供合同关键页（包括但不限于封面、金额、内容、盖章页）的复印件作为证明文件，不提供或评标委员会无法判定不得分。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jc w:val="left"/>
      </w:pPr>
      <w:r>
        <w:rPr/>
        <w:t xml:space="preserve"> </w:t>
      </w:r>
    </w:p>
    <w:p>
      <w:pPr>
        <w:jc w:val="left"/>
      </w:pPr>
      <w:r>
        <w:rPr/>
        <w:t xml:space="preserve"> </w:t>
      </w:r>
    </w:p>
    <w:p>
      <w:pPr>
        <w:jc w:val="center"/>
      </w:pPr>
    </w:p>
    <w:p>
      <w:pPr>
        <w:jc w:val="center"/>
      </w:pPr>
      <w:r>
        <w:rPr>
          <w:b/>
          <w:sz w:val="44"/>
        </w:rPr>
        <w:t>食堂管理服务委托合同</w:t>
      </w:r>
    </w:p>
    <w:p>
      <w:pPr>
        <w:jc w:val="center"/>
      </w:pPr>
      <w:r>
        <w:rPr/>
        <w:t xml:space="preserve"> </w:t>
      </w:r>
    </w:p>
    <w:p>
      <w:pPr>
        <w:jc w:val="center"/>
      </w:pPr>
      <w:r>
        <w:rPr/>
        <w:t xml:space="preserve"> </w:t>
      </w:r>
    </w:p>
    <w:p>
      <w:pPr>
        <w:jc w:val="center"/>
      </w:pPr>
      <w:r>
        <w:rPr/>
        <w:t xml:space="preserve"> </w:t>
      </w:r>
    </w:p>
    <w:p>
      <w:pPr>
        <w:jc w:val="both"/>
      </w:pPr>
    </w:p>
    <w:p>
      <w:pPr>
        <w:ind w:firstLine="617"/>
        <w:jc w:val="both"/>
      </w:pPr>
      <w:r>
        <w:rPr>
          <w:b/>
          <w:sz w:val="32"/>
        </w:rPr>
        <w:t>甲方：广东省工伤康复中心</w:t>
      </w:r>
    </w:p>
    <w:p>
      <w:pPr>
        <w:ind w:firstLine="617"/>
        <w:jc w:val="both"/>
      </w:pPr>
      <w:r>
        <w:rPr>
          <w:b/>
          <w:sz w:val="32"/>
        </w:rPr>
        <w:t>法定代表人：陈大军</w:t>
      </w:r>
    </w:p>
    <w:p>
      <w:pPr>
        <w:ind w:firstLine="617"/>
        <w:jc w:val="both"/>
      </w:pPr>
      <w:r>
        <w:rPr>
          <w:b/>
          <w:sz w:val="32"/>
        </w:rPr>
        <w:t>地址：广州市白云区启德路</w:t>
      </w:r>
      <w:r>
        <w:rPr>
          <w:b/>
          <w:sz w:val="32"/>
        </w:rPr>
        <w:t xml:space="preserve">68号                 </w:t>
      </w:r>
    </w:p>
    <w:p>
      <w:pPr>
        <w:ind w:firstLine="617"/>
        <w:jc w:val="both"/>
      </w:pPr>
      <w:r>
        <w:rPr>
          <w:b/>
          <w:sz w:val="32"/>
        </w:rPr>
        <w:t>乙方：</w:t>
      </w:r>
      <w:r>
        <w:rPr>
          <w:b/>
          <w:sz w:val="32"/>
        </w:rPr>
        <w:t xml:space="preserve">    </w:t>
      </w:r>
    </w:p>
    <w:p>
      <w:pPr>
        <w:ind w:firstLine="617"/>
        <w:jc w:val="both"/>
      </w:pPr>
      <w:r>
        <w:rPr>
          <w:b/>
          <w:sz w:val="32"/>
        </w:rPr>
        <w:t>法定代表人：</w:t>
      </w:r>
    </w:p>
    <w:p>
      <w:pPr>
        <w:ind w:firstLine="617"/>
        <w:jc w:val="both"/>
      </w:pPr>
      <w:r>
        <w:rPr>
          <w:b/>
          <w:sz w:val="32"/>
        </w:rPr>
        <w:t>地址：</w:t>
      </w:r>
      <w:r>
        <w:rPr>
          <w:b/>
          <w:sz w:val="32"/>
        </w:rPr>
        <w:t xml:space="preserve">  </w:t>
      </w:r>
      <w:r>
        <w:rPr>
          <w:b/>
          <w:sz w:val="21"/>
        </w:rPr>
        <w:t xml:space="preserve">                     </w:t>
      </w:r>
    </w:p>
    <w:p>
      <w:r>
        <w:rPr/>
        <w:t xml:space="preserve">  </w:t>
      </w:r>
      <w:r>
        <w:rPr>
          <w:sz w:val="32"/>
        </w:rPr>
        <w:t xml:space="preserve">   </w:t>
      </w:r>
      <w:r>
        <w:rPr>
          <w:sz w:val="32"/>
        </w:rPr>
        <w:t>按照《中华人民共和国政府采购法》及其实施条例、《中华人民共和国民法典》等规定，根据《广东省工伤康复中心广州院区食堂服务管理项目》招标文件（</w:t>
      </w:r>
      <w:r>
        <w:rPr>
          <w:sz w:val="32"/>
          <w:u w:val="single"/>
        </w:rPr>
        <w:t>项目编号：</w:t>
      </w:r>
      <w:r>
        <w:rPr>
          <w:sz w:val="32"/>
          <w:u w:val="single"/>
        </w:rPr>
        <w:t xml:space="preserve">         </w:t>
      </w:r>
      <w:r>
        <w:rPr>
          <w:sz w:val="32"/>
        </w:rPr>
        <w:t>）的要求和投标文件的响应，本着平等互利和诚实信用的原则，经双方协商一致，签订本合同。</w:t>
      </w:r>
      <w:r>
        <w:rPr>
          <w:sz w:val="32"/>
        </w:rPr>
        <w:t>本项目的招标文件、投标文件、中标通知书、在实施过程中双方共同签署的补充文件，包括甲方提出、乙方响应的本采购项目《采购需求》所列服务要求、标准及内容等，均为本合同不可分割之一部分，甲、乙双方须严格遵照履行。</w:t>
      </w:r>
    </w:p>
    <w:p>
      <w:pPr>
        <w:jc w:val="both"/>
      </w:pPr>
      <w:r>
        <w:rPr>
          <w:b/>
          <w:sz w:val="21"/>
        </w:rPr>
        <w:t xml:space="preserve">    </w:t>
      </w:r>
      <w:r>
        <w:rPr>
          <w:b/>
          <w:sz w:val="32"/>
        </w:rPr>
        <w:t xml:space="preserve">  </w:t>
      </w:r>
      <w:r>
        <w:rPr>
          <w:b/>
          <w:sz w:val="32"/>
        </w:rPr>
        <w:t>一、服务内容及范围</w:t>
      </w:r>
    </w:p>
    <w:p>
      <w:pPr>
        <w:jc w:val="both"/>
      </w:pPr>
      <w:r>
        <w:rPr>
          <w:sz w:val="32"/>
        </w:rPr>
        <w:t>甲方聘请乙方按照甲方《采购需求》所列服务需求和标准，为甲方食堂提供以下服务：</w:t>
      </w:r>
    </w:p>
    <w:p>
      <w:pPr>
        <w:jc w:val="both"/>
      </w:pPr>
      <w:r>
        <w:rPr>
          <w:sz w:val="32"/>
        </w:rPr>
        <w:t xml:space="preserve">    </w:t>
      </w:r>
      <w:r>
        <w:rPr>
          <w:sz w:val="32"/>
        </w:rPr>
        <w:t>1.负责对甲方食堂生产、运营事务及流程提供专业化、规范化综合服务和管理，严格保障食品卫生安全，并密切配合甲方做好消防安全和安全生产相关工作等。</w:t>
      </w:r>
    </w:p>
    <w:p>
      <w:pPr>
        <w:jc w:val="both"/>
      </w:pPr>
      <w:r>
        <w:rPr>
          <w:sz w:val="32"/>
        </w:rPr>
        <w:t xml:space="preserve">    </w:t>
      </w:r>
      <w:r>
        <w:rPr>
          <w:sz w:val="32"/>
        </w:rPr>
        <w:t>2.负责早餐、午餐、晚餐以及烧腊套餐、手工粉面、特殊饮食、会务工作餐及不定期正式围餐服务的菜单制订、配餐、原材料申购下单、食材验收、加工及烹调制作、规范储存，菜单定期更新和新菜式的研发，食材溯源凭证收取和台账规范登记。</w:t>
      </w:r>
    </w:p>
    <w:p>
      <w:pPr>
        <w:jc w:val="left"/>
      </w:pPr>
      <w:r>
        <w:rPr>
          <w:sz w:val="32"/>
        </w:rPr>
        <w:t xml:space="preserve">    </w:t>
      </w:r>
      <w:r>
        <w:rPr>
          <w:sz w:val="32"/>
        </w:rPr>
        <w:t xml:space="preserve">3.负责甲方食堂现场服务及管理，包括但不限于堂食自选售餐、收银及辅助服务，职工及病人餐食在线订餐及配送，甲方遇突发事件或紧急状况（包括但不限于发生断水断电、地震、暴雨、台风、洪涝等）时的应急供餐和饮水服务配送，在线订餐售餐系统日常操作维护，各餐次食品规范留样及登记，食品卫生安全台账的日常备记，食堂工作人员防疫物资、宣传标识及宣教用品、采购方食堂现有设备所发生的单次1000 元以下的设备故障修缮、排烟罩除油清洗（每季度一次）、设备设施的维护和保养、设备/餐具的清洁与消毒、食堂及相关区域环境卫生（含除四害）、餐厨垃圾合规暂存和及时清运、生活垃圾分类收集和清理、排污管道按需清理；小件生产服务用品的按需添置、年度赔付额不低于500万元的公共责任险和年度赔付额不低于500万元的食品安全责任险。  </w:t>
      </w:r>
    </w:p>
    <w:p>
      <w:pPr>
        <w:jc w:val="both"/>
      </w:pPr>
      <w:r>
        <w:rPr>
          <w:sz w:val="32"/>
        </w:rPr>
        <w:t xml:space="preserve">    </w:t>
      </w:r>
      <w:r>
        <w:rPr>
          <w:sz w:val="32"/>
        </w:rPr>
        <w:t>4.负责按照合同义务对食堂生产、客服管理及服务人员进行配置与管理，并确保员工关系和谐。</w:t>
      </w:r>
    </w:p>
    <w:p>
      <w:pPr>
        <w:jc w:val="both"/>
      </w:pPr>
      <w:r>
        <w:rPr>
          <w:sz w:val="32"/>
        </w:rPr>
        <w:t xml:space="preserve">    </w:t>
      </w:r>
      <w:r>
        <w:rPr>
          <w:sz w:val="32"/>
        </w:rPr>
        <w:t>5.按照甲方提出的管理要求切实控制好营业成本并保证菜肴质量以及服务水平；定期征求就餐人员对菜品质量的意见，并按照甲方月度考评、测评反馈意见及时优化改善。</w:t>
      </w:r>
    </w:p>
    <w:p>
      <w:pPr>
        <w:jc w:val="left"/>
      </w:pPr>
      <w:r>
        <w:rPr>
          <w:sz w:val="21"/>
        </w:rPr>
        <w:t xml:space="preserve">   </w:t>
      </w:r>
      <w:r>
        <w:rPr>
          <w:sz w:val="32"/>
        </w:rPr>
        <w:t xml:space="preserve">  </w:t>
      </w:r>
      <w:r>
        <w:rPr>
          <w:sz w:val="32"/>
        </w:rPr>
        <w:t>6.尊重和服从甲方职能管理部门的领导和管理，积极主动配合甲方工作安排，并能全面符合甲方申报及复评“三甲康复专科医院”资质涉及医疗机构食堂膳食服务及食品卫生安全所需达到的各项服务管理指标和标准。</w:t>
      </w:r>
    </w:p>
    <w:p>
      <w:pPr>
        <w:jc w:val="both"/>
      </w:pPr>
      <w:r>
        <w:rPr>
          <w:sz w:val="21"/>
        </w:rPr>
        <w:t xml:space="preserve"> </w:t>
      </w:r>
      <w:r>
        <w:rPr>
          <w:b/>
          <w:sz w:val="32"/>
        </w:rPr>
        <w:t xml:space="preserve">   </w:t>
      </w:r>
      <w:r>
        <w:rPr>
          <w:b/>
          <w:sz w:val="32"/>
        </w:rPr>
        <w:t>二、食堂生产、服务及管理人员配置</w:t>
      </w:r>
    </w:p>
    <w:p>
      <w:pPr>
        <w:jc w:val="both"/>
      </w:pPr>
      <w:r>
        <w:rPr>
          <w:sz w:val="32"/>
        </w:rPr>
        <w:t xml:space="preserve">   </w:t>
      </w:r>
      <w:r>
        <w:rPr>
          <w:sz w:val="32"/>
        </w:rPr>
        <w:t>1.食堂人员岗位计划配置要求：</w:t>
      </w:r>
    </w:p>
    <w:tbl>
      <w:tblPr>
        <w:tblW w:w="0" w:type="auto"/>
        <w:tblBorders>
          <w:top w:val="none" w:color="000000" w:sz="4"/>
          <w:left w:val="none" w:color="000000" w:sz="4"/>
          <w:bottom w:val="none" w:color="000000" w:sz="4"/>
          <w:right w:val="none" w:color="000000" w:sz="4"/>
          <w:insideH w:val="none"/>
          <w:insideV w:val="none"/>
        </w:tblBorders>
      </w:tblPr>
      <w:tblGrid>
        <w:gridCol w:w="2290"/>
        <w:gridCol w:w="3925"/>
        <w:gridCol w:w="2088"/>
      </w:tblGrid>
      <w:tr>
        <w:tc>
          <w:tcPr>
            <w:tcW w:type="dxa" w:w="2290"/>
            <w:tcBorders>
              <w:top w:val="single" w:color="000000" w:sz="8"/>
              <w:left w:val="single" w:color="000000" w:sz="8"/>
              <w:bottom w:val="single" w:color="000000" w:sz="4"/>
              <w:right w:val="single" w:color="000000" w:sz="4"/>
            </w:tcBorders>
            <w:vAlign w:val="top"/>
          </w:tcPr>
          <w:p>
            <w:pPr>
              <w:jc w:val="center"/>
            </w:pPr>
            <w:r>
              <w:rPr>
                <w:sz w:val="32"/>
              </w:rPr>
              <w:t>序号</w:t>
            </w:r>
          </w:p>
        </w:tc>
        <w:tc>
          <w:tcPr>
            <w:tcW w:type="dxa" w:w="3925"/>
            <w:tcBorders>
              <w:top w:val="single" w:color="000000" w:sz="8"/>
              <w:left w:val="single" w:color="000000" w:sz="4"/>
              <w:bottom w:val="single" w:color="000000" w:sz="4"/>
              <w:right w:val="single" w:color="000000" w:sz="4"/>
            </w:tcBorders>
            <w:vAlign w:val="top"/>
          </w:tcPr>
          <w:p>
            <w:pPr>
              <w:jc w:val="center"/>
            </w:pPr>
            <w:r>
              <w:rPr>
                <w:sz w:val="32"/>
              </w:rPr>
              <w:t>岗位名称</w:t>
            </w:r>
          </w:p>
        </w:tc>
        <w:tc>
          <w:tcPr>
            <w:tcW w:type="dxa" w:w="2088"/>
            <w:tcBorders>
              <w:top w:val="single" w:color="000000" w:sz="8"/>
              <w:left w:val="single" w:color="000000" w:sz="4"/>
              <w:bottom w:val="single" w:color="000000" w:sz="4"/>
              <w:right w:val="single" w:color="000000" w:sz="8"/>
            </w:tcBorders>
            <w:vAlign w:val="top"/>
          </w:tcPr>
          <w:p>
            <w:pPr>
              <w:jc w:val="center"/>
            </w:pPr>
            <w:r>
              <w:rPr>
                <w:sz w:val="32"/>
              </w:rPr>
              <w:t>岗位人数</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32"/>
              </w:rPr>
              <w:t>1</w:t>
            </w:r>
          </w:p>
        </w:tc>
        <w:tc>
          <w:tcPr>
            <w:tcW w:type="dxa" w:w="3925"/>
            <w:tcBorders>
              <w:top w:val="single" w:color="000000" w:sz="4"/>
              <w:left w:val="single" w:color="000000" w:sz="4"/>
              <w:bottom w:val="single" w:color="000000" w:sz="4"/>
              <w:right w:val="single" w:color="000000" w:sz="4"/>
            </w:tcBorders>
            <w:vAlign w:val="top"/>
          </w:tcPr>
          <w:p>
            <w:pPr>
              <w:jc w:val="center"/>
            </w:pPr>
            <w:r>
              <w:rPr>
                <w:sz w:val="32"/>
              </w:rPr>
              <w:t>分店经理</w:t>
            </w:r>
          </w:p>
        </w:tc>
        <w:tc>
          <w:tcPr>
            <w:tcW w:type="dxa" w:w="2088"/>
            <w:tcBorders>
              <w:top w:val="single" w:color="000000" w:sz="4"/>
              <w:left w:val="single" w:color="000000" w:sz="4"/>
              <w:bottom w:val="single" w:color="000000" w:sz="4"/>
              <w:right w:val="single" w:color="000000" w:sz="8"/>
            </w:tcBorders>
            <w:vAlign w:val="top"/>
          </w:tcPr>
          <w:p>
            <w:pPr>
              <w:jc w:val="center"/>
            </w:pPr>
            <w:r>
              <w:rPr>
                <w:sz w:val="32"/>
              </w:rPr>
              <w:t>1人</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32"/>
              </w:rPr>
              <w:t>2</w:t>
            </w:r>
          </w:p>
        </w:tc>
        <w:tc>
          <w:tcPr>
            <w:tcW w:type="dxa" w:w="3925"/>
            <w:tcBorders>
              <w:top w:val="single" w:color="000000" w:sz="4"/>
              <w:left w:val="single" w:color="000000" w:sz="4"/>
              <w:bottom w:val="single" w:color="000000" w:sz="4"/>
              <w:right w:val="single" w:color="000000" w:sz="4"/>
            </w:tcBorders>
            <w:vAlign w:val="top"/>
          </w:tcPr>
          <w:p>
            <w:pPr>
              <w:jc w:val="center"/>
            </w:pPr>
            <w:r>
              <w:rPr>
                <w:sz w:val="32"/>
              </w:rPr>
              <w:t>厨师长</w:t>
            </w:r>
          </w:p>
        </w:tc>
        <w:tc>
          <w:tcPr>
            <w:tcW w:type="dxa" w:w="2088"/>
            <w:tcBorders>
              <w:top w:val="single" w:color="000000" w:sz="4"/>
              <w:left w:val="single" w:color="000000" w:sz="4"/>
              <w:bottom w:val="single" w:color="000000" w:sz="4"/>
              <w:right w:val="single" w:color="000000" w:sz="8"/>
            </w:tcBorders>
            <w:vAlign w:val="top"/>
          </w:tcPr>
          <w:p>
            <w:pPr>
              <w:jc w:val="center"/>
            </w:pPr>
            <w:r>
              <w:rPr>
                <w:sz w:val="32"/>
              </w:rPr>
              <w:t>1人</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32"/>
              </w:rPr>
              <w:t>3</w:t>
            </w:r>
          </w:p>
        </w:tc>
        <w:tc>
          <w:tcPr>
            <w:tcW w:type="dxa" w:w="3925"/>
            <w:tcBorders>
              <w:top w:val="single" w:color="000000" w:sz="4"/>
              <w:left w:val="single" w:color="000000" w:sz="4"/>
              <w:bottom w:val="single" w:color="000000" w:sz="4"/>
              <w:right w:val="single" w:color="000000" w:sz="4"/>
            </w:tcBorders>
            <w:vAlign w:val="top"/>
          </w:tcPr>
          <w:p>
            <w:pPr>
              <w:jc w:val="center"/>
            </w:pPr>
            <w:r>
              <w:rPr>
                <w:sz w:val="32"/>
              </w:rPr>
              <w:t>厨师</w:t>
            </w:r>
          </w:p>
        </w:tc>
        <w:tc>
          <w:tcPr>
            <w:tcW w:type="dxa" w:w="2088"/>
            <w:tcBorders>
              <w:top w:val="single" w:color="000000" w:sz="4"/>
              <w:left w:val="single" w:color="000000" w:sz="4"/>
              <w:bottom w:val="single" w:color="000000" w:sz="4"/>
              <w:right w:val="single" w:color="000000" w:sz="8"/>
            </w:tcBorders>
            <w:vAlign w:val="top"/>
          </w:tcPr>
          <w:p>
            <w:pPr>
              <w:jc w:val="center"/>
            </w:pPr>
            <w:r>
              <w:rPr>
                <w:sz w:val="32"/>
              </w:rPr>
              <w:t>5人</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32"/>
              </w:rPr>
              <w:t>4</w:t>
            </w:r>
          </w:p>
        </w:tc>
        <w:tc>
          <w:tcPr>
            <w:tcW w:type="dxa" w:w="3925"/>
            <w:tcBorders>
              <w:top w:val="single" w:color="000000" w:sz="4"/>
              <w:left w:val="single" w:color="000000" w:sz="4"/>
              <w:bottom w:val="single" w:color="000000" w:sz="4"/>
              <w:right w:val="single" w:color="000000" w:sz="4"/>
            </w:tcBorders>
            <w:vAlign w:val="top"/>
          </w:tcPr>
          <w:p>
            <w:pPr>
              <w:jc w:val="center"/>
            </w:pPr>
            <w:r>
              <w:rPr>
                <w:sz w:val="32"/>
              </w:rPr>
              <w:t>点心师傅</w:t>
            </w:r>
          </w:p>
        </w:tc>
        <w:tc>
          <w:tcPr>
            <w:tcW w:type="dxa" w:w="2088"/>
            <w:tcBorders>
              <w:top w:val="single" w:color="000000" w:sz="4"/>
              <w:left w:val="single" w:color="000000" w:sz="4"/>
              <w:bottom w:val="single" w:color="000000" w:sz="4"/>
              <w:right w:val="single" w:color="000000" w:sz="8"/>
            </w:tcBorders>
            <w:vAlign w:val="top"/>
          </w:tcPr>
          <w:p>
            <w:pPr>
              <w:jc w:val="center"/>
            </w:pPr>
            <w:r>
              <w:rPr>
                <w:sz w:val="32"/>
              </w:rPr>
              <w:t>1人</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32"/>
              </w:rPr>
              <w:t>5</w:t>
            </w:r>
          </w:p>
        </w:tc>
        <w:tc>
          <w:tcPr>
            <w:tcW w:type="dxa" w:w="3925"/>
            <w:tcBorders>
              <w:top w:val="single" w:color="000000" w:sz="4"/>
              <w:left w:val="single" w:color="000000" w:sz="4"/>
              <w:bottom w:val="single" w:color="000000" w:sz="4"/>
              <w:right w:val="single" w:color="000000" w:sz="4"/>
            </w:tcBorders>
            <w:vAlign w:val="top"/>
          </w:tcPr>
          <w:p>
            <w:pPr>
              <w:jc w:val="center"/>
            </w:pPr>
            <w:r>
              <w:rPr>
                <w:sz w:val="32"/>
              </w:rPr>
              <w:t>面点师</w:t>
            </w:r>
          </w:p>
        </w:tc>
        <w:tc>
          <w:tcPr>
            <w:tcW w:type="dxa" w:w="2088"/>
            <w:tcBorders>
              <w:top w:val="single" w:color="000000" w:sz="4"/>
              <w:left w:val="single" w:color="000000" w:sz="4"/>
              <w:bottom w:val="single" w:color="000000" w:sz="4"/>
              <w:right w:val="single" w:color="000000" w:sz="8"/>
            </w:tcBorders>
            <w:vAlign w:val="top"/>
          </w:tcPr>
          <w:p>
            <w:pPr>
              <w:jc w:val="center"/>
            </w:pPr>
            <w:r>
              <w:rPr>
                <w:sz w:val="32"/>
              </w:rPr>
              <w:t>1人</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32"/>
              </w:rPr>
              <w:t>6</w:t>
            </w:r>
          </w:p>
        </w:tc>
        <w:tc>
          <w:tcPr>
            <w:tcW w:type="dxa" w:w="3925"/>
            <w:tcBorders>
              <w:top w:val="single" w:color="000000" w:sz="4"/>
              <w:left w:val="single" w:color="000000" w:sz="4"/>
              <w:bottom w:val="single" w:color="000000" w:sz="4"/>
              <w:right w:val="single" w:color="000000" w:sz="4"/>
            </w:tcBorders>
            <w:vAlign w:val="top"/>
          </w:tcPr>
          <w:p>
            <w:pPr>
              <w:jc w:val="center"/>
            </w:pPr>
            <w:r>
              <w:rPr>
                <w:sz w:val="32"/>
              </w:rPr>
              <w:t>助厨</w:t>
            </w:r>
          </w:p>
        </w:tc>
        <w:tc>
          <w:tcPr>
            <w:tcW w:type="dxa" w:w="2088"/>
            <w:tcBorders>
              <w:top w:val="single" w:color="000000" w:sz="4"/>
              <w:left w:val="single" w:color="000000" w:sz="4"/>
              <w:bottom w:val="single" w:color="000000" w:sz="4"/>
              <w:right w:val="single" w:color="000000" w:sz="8"/>
            </w:tcBorders>
            <w:vAlign w:val="top"/>
          </w:tcPr>
          <w:p>
            <w:pPr>
              <w:jc w:val="center"/>
            </w:pPr>
            <w:r>
              <w:rPr>
                <w:sz w:val="32"/>
              </w:rPr>
              <w:t>6人</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32"/>
              </w:rPr>
              <w:t>7</w:t>
            </w:r>
          </w:p>
        </w:tc>
        <w:tc>
          <w:tcPr>
            <w:tcW w:type="dxa" w:w="3925"/>
            <w:tcBorders>
              <w:top w:val="single" w:color="000000" w:sz="4"/>
              <w:left w:val="single" w:color="000000" w:sz="4"/>
              <w:bottom w:val="single" w:color="000000" w:sz="4"/>
              <w:right w:val="single" w:color="000000" w:sz="4"/>
            </w:tcBorders>
            <w:vAlign w:val="top"/>
          </w:tcPr>
          <w:p>
            <w:pPr>
              <w:jc w:val="center"/>
            </w:pPr>
            <w:r>
              <w:rPr>
                <w:sz w:val="32"/>
              </w:rPr>
              <w:t>白案助理</w:t>
            </w:r>
          </w:p>
        </w:tc>
        <w:tc>
          <w:tcPr>
            <w:tcW w:type="dxa" w:w="2088"/>
            <w:tcBorders>
              <w:top w:val="single" w:color="000000" w:sz="4"/>
              <w:left w:val="single" w:color="000000" w:sz="4"/>
              <w:bottom w:val="single" w:color="000000" w:sz="4"/>
              <w:right w:val="single" w:color="000000" w:sz="8"/>
            </w:tcBorders>
            <w:vAlign w:val="top"/>
          </w:tcPr>
          <w:p>
            <w:pPr>
              <w:jc w:val="center"/>
            </w:pPr>
            <w:r>
              <w:rPr>
                <w:sz w:val="32"/>
              </w:rPr>
              <w:t>2人</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32"/>
              </w:rPr>
              <w:t>8</w:t>
            </w:r>
          </w:p>
        </w:tc>
        <w:tc>
          <w:tcPr>
            <w:tcW w:type="dxa" w:w="3925"/>
            <w:tcBorders>
              <w:top w:val="single" w:color="000000" w:sz="4"/>
              <w:left w:val="single" w:color="000000" w:sz="4"/>
              <w:bottom w:val="single" w:color="000000" w:sz="4"/>
              <w:right w:val="single" w:color="000000" w:sz="4"/>
            </w:tcBorders>
            <w:vAlign w:val="top"/>
          </w:tcPr>
          <w:p>
            <w:pPr>
              <w:jc w:val="center"/>
            </w:pPr>
            <w:r>
              <w:rPr>
                <w:sz w:val="32"/>
              </w:rPr>
              <w:t>客服主管</w:t>
            </w:r>
          </w:p>
        </w:tc>
        <w:tc>
          <w:tcPr>
            <w:tcW w:type="dxa" w:w="2088"/>
            <w:tcBorders>
              <w:top w:val="single" w:color="000000" w:sz="4"/>
              <w:left w:val="single" w:color="000000" w:sz="4"/>
              <w:bottom w:val="single" w:color="000000" w:sz="4"/>
              <w:right w:val="single" w:color="000000" w:sz="8"/>
            </w:tcBorders>
            <w:vAlign w:val="top"/>
          </w:tcPr>
          <w:p>
            <w:pPr>
              <w:jc w:val="center"/>
            </w:pPr>
            <w:r>
              <w:rPr>
                <w:sz w:val="32"/>
              </w:rPr>
              <w:t>2人</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32"/>
              </w:rPr>
              <w:t>9</w:t>
            </w:r>
          </w:p>
        </w:tc>
        <w:tc>
          <w:tcPr>
            <w:tcW w:type="dxa" w:w="3925"/>
            <w:tcBorders>
              <w:top w:val="single" w:color="000000" w:sz="4"/>
              <w:left w:val="single" w:color="000000" w:sz="4"/>
              <w:bottom w:val="single" w:color="000000" w:sz="4"/>
              <w:right w:val="single" w:color="000000" w:sz="4"/>
            </w:tcBorders>
            <w:vAlign w:val="top"/>
          </w:tcPr>
          <w:p>
            <w:pPr>
              <w:jc w:val="center"/>
            </w:pPr>
            <w:r>
              <w:rPr>
                <w:sz w:val="32"/>
              </w:rPr>
              <w:t>服务员</w:t>
            </w:r>
          </w:p>
        </w:tc>
        <w:tc>
          <w:tcPr>
            <w:tcW w:type="dxa" w:w="2088"/>
            <w:tcBorders>
              <w:top w:val="single" w:color="000000" w:sz="4"/>
              <w:left w:val="single" w:color="000000" w:sz="4"/>
              <w:bottom w:val="single" w:color="000000" w:sz="4"/>
              <w:right w:val="single" w:color="000000" w:sz="8"/>
            </w:tcBorders>
            <w:vAlign w:val="top"/>
          </w:tcPr>
          <w:p>
            <w:pPr>
              <w:jc w:val="center"/>
            </w:pPr>
            <w:r>
              <w:rPr>
                <w:sz w:val="32"/>
              </w:rPr>
              <w:t>9人</w:t>
            </w:r>
          </w:p>
        </w:tc>
      </w:tr>
      <w:tr>
        <w:tc>
          <w:tcPr>
            <w:tcW w:type="dxa" w:w="2290"/>
            <w:tcBorders>
              <w:top w:val="single" w:color="000000" w:sz="4"/>
              <w:left w:val="single" w:color="000000" w:sz="8"/>
              <w:bottom w:val="single" w:color="000000" w:sz="8"/>
              <w:right w:val="single" w:color="000000" w:sz="4"/>
            </w:tcBorders>
            <w:vAlign w:val="top"/>
          </w:tcPr>
          <w:p>
            <w:pPr>
              <w:jc w:val="center"/>
            </w:pPr>
            <w:r>
              <w:rPr>
                <w:sz w:val="32"/>
              </w:rPr>
              <w:t>10</w:t>
            </w:r>
          </w:p>
        </w:tc>
        <w:tc>
          <w:tcPr>
            <w:tcW w:type="dxa" w:w="3925"/>
            <w:tcBorders>
              <w:top w:val="single" w:color="000000" w:sz="4"/>
              <w:left w:val="single" w:color="000000" w:sz="4"/>
              <w:bottom w:val="single" w:color="000000" w:sz="8"/>
              <w:right w:val="single" w:color="000000" w:sz="4"/>
            </w:tcBorders>
            <w:vAlign w:val="top"/>
          </w:tcPr>
          <w:p>
            <w:pPr>
              <w:jc w:val="center"/>
            </w:pPr>
            <w:r>
              <w:rPr>
                <w:sz w:val="32"/>
              </w:rPr>
              <w:t>清洁员</w:t>
            </w:r>
          </w:p>
        </w:tc>
        <w:tc>
          <w:tcPr>
            <w:tcW w:type="dxa" w:w="2088"/>
            <w:tcBorders>
              <w:top w:val="single" w:color="000000" w:sz="4"/>
              <w:left w:val="single" w:color="000000" w:sz="4"/>
              <w:bottom w:val="single" w:color="000000" w:sz="8"/>
              <w:right w:val="single" w:color="000000" w:sz="8"/>
            </w:tcBorders>
            <w:vAlign w:val="top"/>
          </w:tcPr>
          <w:p>
            <w:pPr>
              <w:jc w:val="center"/>
            </w:pPr>
            <w:r>
              <w:rPr>
                <w:sz w:val="32"/>
              </w:rPr>
              <w:t>3人</w:t>
            </w:r>
          </w:p>
        </w:tc>
      </w:tr>
    </w:tbl>
    <w:p>
      <w:pPr>
        <w:jc w:val="both"/>
      </w:pPr>
      <w:r>
        <w:rPr>
          <w:sz w:val="32"/>
        </w:rPr>
        <w:t xml:space="preserve">    </w:t>
      </w:r>
      <w:r>
        <w:rPr>
          <w:sz w:val="32"/>
        </w:rPr>
        <w:t>注：</w:t>
      </w:r>
      <w:r>
        <w:rPr>
          <w:sz w:val="32"/>
        </w:rPr>
        <w:t>1）乙方拟派本项目厨房服务人员均应具有2年或以上的相应工作经验，每位厨房服务人员在投入本项目服务前须取得健康证，具备良好的身体素质和思想道德；其中分店经理及客服主管等管理人员须具备客餐规范服务及电脑订餐系统熟练操作技能，厨师长、厨师及点心/面点师需持中级以上厨师证上岗，其余助厨须持初级或以上厨师证上岗。分店经理、厨师、客服主管等主要管理及技术岗位人员任用和变更须经甲方审核同意后方可入职计薪。乙方拟派本项目的所有服务人员在经甲方确定后，不得随意更换，如确需更换的，乙方须提前1个月向甲方提出书面申请，经甲方同意后方可调换。其他需要增加的岗位另行补充协议。</w:t>
      </w:r>
    </w:p>
    <w:p>
      <w:pPr>
        <w:ind w:firstLine="640"/>
        <w:jc w:val="both"/>
      </w:pPr>
      <w:r>
        <w:rPr>
          <w:sz w:val="32"/>
        </w:rPr>
        <w:t>2）</w:t>
      </w:r>
      <w:r>
        <w:rPr>
          <w:sz w:val="32"/>
        </w:rPr>
        <w:t>合同期内，甲方可根据食堂就餐人员、需求变化对服务岗位、人数进行合理调整；乙方须全面响应和配合甲方在用餐人数、设备场地、供餐模式等方面的服务需求调整。</w:t>
      </w:r>
    </w:p>
    <w:p>
      <w:pPr>
        <w:jc w:val="both"/>
      </w:pPr>
      <w:r>
        <w:rPr>
          <w:sz w:val="32"/>
        </w:rPr>
        <w:t xml:space="preserve">    </w:t>
      </w:r>
      <w:r>
        <w:rPr>
          <w:sz w:val="32"/>
        </w:rPr>
        <w:t>2.乙方节假日排班要求：</w:t>
      </w:r>
    </w:p>
    <w:p>
      <w:pPr>
        <w:jc w:val="both"/>
      </w:pPr>
      <w:r>
        <w:rPr>
          <w:sz w:val="32"/>
        </w:rPr>
        <w:t xml:space="preserve">    </w:t>
      </w:r>
      <w:r>
        <w:rPr>
          <w:sz w:val="32"/>
        </w:rPr>
        <w:t>乙方工作人员每人每月可正常排休四天，视为满勤，乙方须保证工作人员加班时长不违反劳动法的规定，法定节假日的人员安排由乙方负责合理调整，但法定节假日期间乙方每天的当值管理、生产、服务人员不得低于</w:t>
      </w:r>
      <w:r>
        <w:rPr>
          <w:sz w:val="32"/>
        </w:rPr>
        <w:t>20人；乙方需保证甲方节假日期间早餐、午餐和晚餐正常供应及保障服务品质，如节假日期间乙方有特殊供餐需求，乙方需无条件配足所需人员完成供餐服务。</w:t>
      </w:r>
    </w:p>
    <w:p>
      <w:pPr>
        <w:jc w:val="both"/>
      </w:pPr>
      <w:r>
        <w:rPr>
          <w:b/>
          <w:sz w:val="21"/>
        </w:rPr>
        <w:t xml:space="preserve">   </w:t>
      </w:r>
      <w:r>
        <w:rPr>
          <w:b/>
          <w:sz w:val="32"/>
        </w:rPr>
        <w:t xml:space="preserve">  </w:t>
      </w:r>
      <w:r>
        <w:rPr>
          <w:b/>
          <w:sz w:val="32"/>
        </w:rPr>
        <w:t>三、合同金额</w:t>
      </w:r>
      <w:r>
        <w:rPr>
          <w:b/>
          <w:sz w:val="32"/>
        </w:rPr>
        <w:t>及结算</w:t>
      </w:r>
    </w:p>
    <w:p>
      <w:pPr>
        <w:ind w:firstLine="640"/>
        <w:jc w:val="both"/>
      </w:pPr>
      <w:r>
        <w:rPr>
          <w:sz w:val="32"/>
        </w:rPr>
        <w:t>1.本项目（三十个月）中标服务费总金额大写：</w:t>
      </w:r>
      <w:r>
        <w:rPr>
          <w:sz w:val="21"/>
          <w:u w:val="single"/>
        </w:rPr>
        <w:t xml:space="preserve">      </w:t>
      </w:r>
      <w:r>
        <w:rPr>
          <w:sz w:val="32"/>
        </w:rPr>
        <w:t>元，小写</w:t>
      </w:r>
      <w:r>
        <w:rPr>
          <w:sz w:val="32"/>
          <w:u w:val="single"/>
        </w:rPr>
        <w:t>：</w:t>
      </w:r>
      <w:r>
        <w:rPr>
          <w:sz w:val="32"/>
          <w:u w:val="single"/>
        </w:rPr>
        <w:t xml:space="preserve">    </w:t>
      </w:r>
      <w:r>
        <w:rPr>
          <w:sz w:val="32"/>
        </w:rPr>
        <w:t>元。合同期内各个月份的服务费相加总额不得超过该合同总额。</w:t>
      </w:r>
    </w:p>
    <w:p>
      <w:pPr>
        <w:ind w:firstLine="640"/>
        <w:jc w:val="both"/>
      </w:pPr>
      <w:r>
        <w:rPr>
          <w:sz w:val="32"/>
        </w:rPr>
        <w:t>2.食</w:t>
      </w:r>
      <w:r>
        <w:rPr>
          <w:sz w:val="32"/>
        </w:rPr>
        <w:t>堂</w:t>
      </w:r>
      <w:r>
        <w:rPr>
          <w:sz w:val="32"/>
        </w:rPr>
        <w:t>服务费：服务费按月支付，由乙方于每月</w:t>
      </w:r>
      <w:r>
        <w:rPr>
          <w:sz w:val="32"/>
        </w:rPr>
        <w:t>10日前向甲方提交上月的人员费用结算清单及岗位考勤表，经甲方确认后，10个工作日内由甲方向乙方支付上月的服务费用。</w:t>
      </w:r>
    </w:p>
    <w:tbl>
      <w:tblPr>
        <w:tblW w:w="0" w:type="auto"/>
        <w:tblBorders>
          <w:top w:val="none" w:color="000000" w:sz="4"/>
          <w:left w:val="none" w:color="000000" w:sz="4"/>
          <w:bottom w:val="none" w:color="000000" w:sz="4"/>
          <w:right w:val="none" w:color="000000" w:sz="4"/>
          <w:insideH w:val="none"/>
          <w:insideV w:val="none"/>
        </w:tblBorders>
      </w:tblPr>
      <w:tblGrid>
        <w:gridCol w:w="1444"/>
        <w:gridCol w:w="1606"/>
        <w:gridCol w:w="1851"/>
        <w:gridCol w:w="1701"/>
        <w:gridCol w:w="1701"/>
      </w:tblGrid>
      <w:tr>
        <w:tc>
          <w:tcPr>
            <w:tcW w:type="dxa" w:w="1444"/>
            <w:tcBorders>
              <w:top w:val="single" w:color="000000" w:sz="8"/>
              <w:left w:val="single" w:color="000000" w:sz="8"/>
              <w:bottom w:val="single" w:color="000000" w:sz="4"/>
              <w:right w:val="single" w:color="000000" w:sz="4"/>
            </w:tcBorders>
            <w:vAlign w:val="top"/>
          </w:tcPr>
          <w:p>
            <w:pPr>
              <w:jc w:val="center"/>
            </w:pPr>
            <w:r>
              <w:rPr>
                <w:sz w:val="28"/>
              </w:rPr>
              <w:t>序号</w:t>
            </w:r>
          </w:p>
        </w:tc>
        <w:tc>
          <w:tcPr>
            <w:tcW w:type="dxa" w:w="1606"/>
            <w:tcBorders>
              <w:top w:val="single" w:color="000000" w:sz="8"/>
              <w:left w:val="single" w:color="000000" w:sz="4"/>
              <w:bottom w:val="single" w:color="000000" w:sz="4"/>
              <w:right w:val="single" w:color="000000" w:sz="4"/>
            </w:tcBorders>
            <w:vAlign w:val="top"/>
          </w:tcPr>
          <w:p>
            <w:pPr>
              <w:jc w:val="center"/>
            </w:pPr>
            <w:r>
              <w:rPr>
                <w:sz w:val="28"/>
              </w:rPr>
              <w:t>岗位名称</w:t>
            </w:r>
          </w:p>
        </w:tc>
        <w:tc>
          <w:tcPr>
            <w:tcW w:type="dxa" w:w="1851"/>
            <w:tcBorders>
              <w:top w:val="single" w:color="000000" w:sz="8"/>
              <w:left w:val="single" w:color="000000" w:sz="4"/>
              <w:bottom w:val="single" w:color="000000" w:sz="4"/>
              <w:right w:val="single" w:color="000000" w:sz="4"/>
            </w:tcBorders>
            <w:vAlign w:val="top"/>
          </w:tcPr>
          <w:p>
            <w:pPr>
              <w:jc w:val="center"/>
            </w:pPr>
            <w:r>
              <w:rPr>
                <w:sz w:val="28"/>
              </w:rPr>
              <w:t>岗位人数</w:t>
            </w:r>
          </w:p>
        </w:tc>
        <w:tc>
          <w:tcPr>
            <w:tcW w:type="dxa" w:w="1701"/>
            <w:tcBorders>
              <w:top w:val="single" w:color="000000" w:sz="8"/>
              <w:left w:val="single" w:color="000000" w:sz="4"/>
              <w:bottom w:val="single" w:color="000000" w:sz="4"/>
              <w:right w:val="single" w:color="000000" w:sz="4"/>
            </w:tcBorders>
            <w:vAlign w:val="top"/>
          </w:tcPr>
          <w:p>
            <w:pPr>
              <w:jc w:val="center"/>
            </w:pPr>
            <w:r>
              <w:rPr>
                <w:sz w:val="28"/>
              </w:rPr>
              <w:t>岗位单价</w:t>
            </w:r>
            <w:r>
              <w:rPr>
                <w:sz w:val="28"/>
              </w:rPr>
              <w:t>( 元/月)</w:t>
            </w:r>
          </w:p>
        </w:tc>
        <w:tc>
          <w:tcPr>
            <w:tcW w:type="dxa" w:w="1701"/>
            <w:tcBorders>
              <w:top w:val="single" w:color="000000" w:sz="8"/>
              <w:left w:val="single" w:color="000000" w:sz="4"/>
              <w:bottom w:val="single" w:color="000000" w:sz="4"/>
              <w:right w:val="single" w:color="000000" w:sz="8"/>
            </w:tcBorders>
            <w:vAlign w:val="top"/>
          </w:tcPr>
          <w:p>
            <w:pPr>
              <w:jc w:val="center"/>
            </w:pPr>
            <w:r>
              <w:rPr>
                <w:sz w:val="28"/>
              </w:rPr>
              <w:t>岗位合计</w:t>
            </w:r>
            <w:r>
              <w:rPr>
                <w:sz w:val="28"/>
              </w:rPr>
              <w:t>( 元/月)</w:t>
            </w: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1</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分店经理</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1人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2</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厨师长</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1人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3</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厨师</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5人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4</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点心师傅</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1人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5</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面点师</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1人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6</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助厨</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6人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7</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白案助理</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2人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8</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客服主管</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2人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9</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服务员</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9人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4"/>
              <w:right w:val="single" w:color="000000" w:sz="4"/>
            </w:tcBorders>
            <w:vAlign w:val="top"/>
          </w:tcPr>
          <w:p>
            <w:pPr>
              <w:jc w:val="center"/>
            </w:pPr>
            <w:r>
              <w:rPr>
                <w:sz w:val="28"/>
              </w:rPr>
              <w:t>10</w:t>
            </w:r>
          </w:p>
        </w:tc>
        <w:tc>
          <w:tcPr>
            <w:tcW w:type="dxa" w:w="1606"/>
            <w:tcBorders>
              <w:top w:val="single" w:color="000000" w:sz="4"/>
              <w:left w:val="single" w:color="000000" w:sz="4"/>
              <w:bottom w:val="single" w:color="000000" w:sz="4"/>
              <w:right w:val="single" w:color="000000" w:sz="4"/>
            </w:tcBorders>
            <w:vAlign w:val="top"/>
          </w:tcPr>
          <w:p>
            <w:pPr>
              <w:jc w:val="center"/>
            </w:pPr>
            <w:r>
              <w:rPr>
                <w:sz w:val="28"/>
              </w:rPr>
              <w:t>清洁员</w:t>
            </w:r>
          </w:p>
        </w:tc>
        <w:tc>
          <w:tcPr>
            <w:tcW w:type="dxa" w:w="1851"/>
            <w:tcBorders>
              <w:top w:val="single" w:color="000000" w:sz="4"/>
              <w:left w:val="single" w:color="000000" w:sz="4"/>
              <w:bottom w:val="single" w:color="000000" w:sz="4"/>
              <w:right w:val="single" w:color="000000" w:sz="4"/>
            </w:tcBorders>
            <w:vAlign w:val="top"/>
          </w:tcPr>
          <w:p>
            <w:pPr>
              <w:jc w:val="center"/>
            </w:pPr>
            <w:r>
              <w:rPr>
                <w:sz w:val="28"/>
              </w:rPr>
              <w:t>3人</w:t>
            </w:r>
          </w:p>
        </w:tc>
        <w:tc>
          <w:tcPr>
            <w:tcW w:type="dxa" w:w="1701"/>
            <w:tcBorders>
              <w:top w:val="single" w:color="000000" w:sz="4"/>
              <w:left w:val="single" w:color="000000" w:sz="4"/>
              <w:bottom w:val="single" w:color="000000" w:sz="4"/>
              <w:right w:val="single" w:color="000000" w:sz="4"/>
            </w:tcBorders>
            <w:vAlign w:val="top"/>
          </w:tcPr>
          <w:p>
            <w:pPr>
              <w:jc w:val="center"/>
            </w:pPr>
          </w:p>
        </w:tc>
        <w:tc>
          <w:tcPr>
            <w:tcW w:type="dxa" w:w="1701"/>
            <w:tcBorders>
              <w:top w:val="single" w:color="000000" w:sz="4"/>
              <w:left w:val="single" w:color="000000" w:sz="4"/>
              <w:bottom w:val="single" w:color="000000" w:sz="4"/>
              <w:right w:val="single" w:color="000000" w:sz="8"/>
            </w:tcBorders>
            <w:vAlign w:val="top"/>
          </w:tcPr>
          <w:p>
            <w:pPr>
              <w:jc w:val="center"/>
            </w:pPr>
          </w:p>
        </w:tc>
      </w:tr>
      <w:tr>
        <w:tc>
          <w:tcPr>
            <w:tcW w:type="dxa" w:w="1444"/>
            <w:tcBorders>
              <w:top w:val="single" w:color="000000" w:sz="4"/>
              <w:left w:val="single" w:color="000000" w:sz="8"/>
              <w:bottom w:val="single" w:color="000000" w:sz="8"/>
              <w:right w:val="single" w:color="000000" w:sz="4"/>
            </w:tcBorders>
            <w:vAlign w:val="top"/>
          </w:tcPr>
          <w:p>
            <w:pPr>
              <w:jc w:val="center"/>
            </w:pPr>
            <w:r>
              <w:rPr>
                <w:sz w:val="28"/>
              </w:rPr>
              <w:t>11</w:t>
            </w:r>
          </w:p>
        </w:tc>
        <w:tc>
          <w:tcPr>
            <w:tcW w:type="dxa" w:w="1606"/>
            <w:tcBorders>
              <w:top w:val="single" w:color="000000" w:sz="4"/>
              <w:left w:val="single" w:color="000000" w:sz="4"/>
              <w:bottom w:val="single" w:color="000000" w:sz="8"/>
              <w:right w:val="single" w:color="000000" w:sz="4"/>
            </w:tcBorders>
            <w:vAlign w:val="top"/>
          </w:tcPr>
          <w:p>
            <w:pPr>
              <w:jc w:val="center"/>
            </w:pPr>
            <w:r>
              <w:rPr>
                <w:sz w:val="28"/>
              </w:rPr>
              <w:t>合计人数</w:t>
            </w:r>
          </w:p>
        </w:tc>
        <w:tc>
          <w:tcPr>
            <w:tcW w:type="dxa" w:w="1851"/>
            <w:tcBorders>
              <w:top w:val="single" w:color="000000" w:sz="4"/>
              <w:left w:val="single" w:color="000000" w:sz="4"/>
              <w:bottom w:val="single" w:color="000000" w:sz="8"/>
              <w:right w:val="single" w:color="000000" w:sz="4"/>
            </w:tcBorders>
            <w:vAlign w:val="top"/>
          </w:tcPr>
          <w:p>
            <w:pPr>
              <w:jc w:val="center"/>
            </w:pPr>
            <w:r>
              <w:rPr>
                <w:sz w:val="28"/>
              </w:rPr>
              <w:t>31人</w:t>
            </w:r>
          </w:p>
        </w:tc>
        <w:tc>
          <w:tcPr>
            <w:tcW w:type="dxa" w:w="1701"/>
            <w:tcBorders>
              <w:top w:val="single" w:color="000000" w:sz="4"/>
              <w:left w:val="single" w:color="000000" w:sz="4"/>
              <w:bottom w:val="single" w:color="000000" w:sz="8"/>
              <w:right w:val="single" w:color="000000" w:sz="4"/>
            </w:tcBorders>
            <w:vAlign w:val="top"/>
          </w:tcPr>
          <w:p>
            <w:pPr>
              <w:jc w:val="center"/>
            </w:pPr>
          </w:p>
        </w:tc>
        <w:tc>
          <w:tcPr>
            <w:tcW w:type="dxa" w:w="1701"/>
            <w:tcBorders>
              <w:top w:val="single" w:color="000000" w:sz="4"/>
              <w:left w:val="single" w:color="000000" w:sz="4"/>
              <w:bottom w:val="single" w:color="000000" w:sz="8"/>
              <w:right w:val="single" w:color="000000" w:sz="8"/>
            </w:tcBorders>
            <w:vAlign w:val="top"/>
          </w:tcPr>
          <w:p>
            <w:pPr>
              <w:jc w:val="center"/>
            </w:pPr>
          </w:p>
        </w:tc>
      </w:tr>
    </w:tbl>
    <w:p>
      <w:pPr>
        <w:jc w:val="left"/>
      </w:pPr>
      <w:r>
        <w:rPr>
          <w:sz w:val="32"/>
        </w:rPr>
        <w:t xml:space="preserve">    </w:t>
      </w:r>
      <w:r>
        <w:rPr>
          <w:sz w:val="32"/>
        </w:rPr>
        <w:t>注：以上工作人员须按实际出勤打卡记录按实结算，如未全勤，则当月服务费按实扣减。</w:t>
      </w:r>
    </w:p>
    <w:p>
      <w:pPr>
        <w:jc w:val="left"/>
      </w:pPr>
      <w:r>
        <w:rPr>
          <w:sz w:val="32"/>
        </w:rPr>
        <w:t xml:space="preserve">    </w:t>
      </w:r>
      <w:r>
        <w:rPr>
          <w:sz w:val="32"/>
        </w:rPr>
        <w:t>4.上述服务费已含乙方管理一切费用，包括：人员工资福利、法定节假日加班费、住宿、体检费、劳保用品及服装费用、工伤及相关费用、五险一金、高温补贴、防疫物资、突发事件或紧急状况时的应急供餐服务配送</w:t>
      </w:r>
      <w:r>
        <w:rPr>
          <w:sz w:val="21"/>
        </w:rPr>
        <w:t>、</w:t>
      </w:r>
      <w:r>
        <w:rPr>
          <w:sz w:val="32"/>
        </w:rPr>
        <w:t>行政办公及宣传标识用品、厨余垃圾合法处置与外运、排污管道按需清理、排烟罩除油清洗（每季度一次）、除四害费用、小件生产服务用品（餐具、刀具、砧板、洗菜盆框、配菜碗碟、清洁工具、餐线隔离带、防滑地垫等）的按需添置、年度赔付额不低于</w:t>
      </w:r>
      <w:r>
        <w:rPr>
          <w:sz w:val="32"/>
        </w:rPr>
        <w:t>500万元的公共责任险和年度赔付额不低于500万元的食品安全责任险、厨房配套设备设施的日常维护和保养，甲方食堂现有厨具设备单次维修费用低于 1000 元的设备故障修缮，</w:t>
      </w:r>
      <w:r>
        <w:rPr>
          <w:sz w:val="32"/>
        </w:rPr>
        <w:t>各项管理费用、利润、税</w:t>
      </w:r>
      <w:r>
        <w:rPr>
          <w:sz w:val="32"/>
        </w:rPr>
        <w:t>费等。</w:t>
      </w:r>
    </w:p>
    <w:p>
      <w:pPr>
        <w:jc w:val="both"/>
      </w:pPr>
      <w:r>
        <w:rPr>
          <w:sz w:val="32"/>
        </w:rPr>
        <w:t xml:space="preserve">    </w:t>
      </w:r>
      <w:r>
        <w:rPr>
          <w:sz w:val="32"/>
        </w:rPr>
        <w:t>5.乙方向甲方开具正式发票，并提供发票复印件（加盖乙方公章），方可办理相关申报支付手续。</w:t>
      </w:r>
    </w:p>
    <w:p>
      <w:pPr>
        <w:jc w:val="both"/>
      </w:pPr>
      <w:r>
        <w:rPr>
          <w:b/>
          <w:sz w:val="21"/>
        </w:rPr>
        <w:t xml:space="preserve">  </w:t>
      </w:r>
      <w:r>
        <w:rPr>
          <w:b/>
          <w:sz w:val="32"/>
        </w:rPr>
        <w:t xml:space="preserve">   </w:t>
      </w:r>
      <w:r>
        <w:rPr>
          <w:b/>
          <w:sz w:val="32"/>
        </w:rPr>
        <w:t>四、双方的权利和义务</w:t>
      </w:r>
    </w:p>
    <w:p>
      <w:pPr>
        <w:jc w:val="both"/>
      </w:pPr>
      <w:r>
        <w:rPr>
          <w:sz w:val="32"/>
        </w:rPr>
        <w:t xml:space="preserve">    </w:t>
      </w:r>
      <w:r>
        <w:rPr>
          <w:sz w:val="32"/>
        </w:rPr>
        <w:t>1.甲方的权利：</w:t>
      </w:r>
    </w:p>
    <w:p>
      <w:pPr>
        <w:jc w:val="both"/>
      </w:pPr>
      <w:r>
        <w:rPr>
          <w:sz w:val="32"/>
        </w:rPr>
        <w:t xml:space="preserve">    </w:t>
      </w:r>
      <w:r>
        <w:rPr>
          <w:sz w:val="32"/>
        </w:rPr>
        <w:t>1）甲方有权要求乙方对因乙方或乙方人员的失误或故意而造成的经济损失作出赔偿；如乙方人员在服务过程中有故意侵占甲方财物，或因乙方管理失职导致甲方设备资产损坏、能源材料浪费、营收流失，产生持续或较大损失的，甲方有权按损失金额双倍扣减乙方服务费或以其它方式向乙方追偿损失。</w:t>
      </w:r>
    </w:p>
    <w:p>
      <w:pPr>
        <w:jc w:val="both"/>
      </w:pPr>
      <w:r>
        <w:rPr>
          <w:sz w:val="32"/>
        </w:rPr>
        <w:t xml:space="preserve">    </w:t>
      </w:r>
      <w:r>
        <w:rPr>
          <w:sz w:val="32"/>
        </w:rPr>
        <w:t>2） 确认乙方拟定的综合服务管理制度和服务流程，并有权根据需要修改管理制度和服务流程。</w:t>
      </w:r>
    </w:p>
    <w:p>
      <w:pPr>
        <w:jc w:val="both"/>
      </w:pPr>
      <w:r>
        <w:rPr>
          <w:sz w:val="32"/>
        </w:rPr>
        <w:t xml:space="preserve">    </w:t>
      </w:r>
      <w:r>
        <w:rPr>
          <w:sz w:val="32"/>
        </w:rPr>
        <w:t>3）监督乙方的管理工作及管理制度的执行情况，如乙方服务过程中发生品质明显不合规、因工作失误造成不良后果、因服务品质问题被投诉且查证属实、乙方人员推诿抗拒甲方正常监管或拒不落实甲方正当整改要求等情形，甲方有权扣减乙方服务费100-200元/次。</w:t>
      </w:r>
    </w:p>
    <w:p>
      <w:pPr>
        <w:jc w:val="both"/>
      </w:pPr>
      <w:r>
        <w:rPr>
          <w:sz w:val="32"/>
        </w:rPr>
        <w:t xml:space="preserve">    </w:t>
      </w:r>
      <w:r>
        <w:rPr>
          <w:sz w:val="32"/>
        </w:rPr>
        <w:t>4）确认核对乙方提出的综合服务计划、账务预算及结算。</w:t>
      </w:r>
    </w:p>
    <w:p>
      <w:pPr>
        <w:jc w:val="both"/>
      </w:pPr>
      <w:r>
        <w:rPr>
          <w:sz w:val="32"/>
        </w:rPr>
        <w:t xml:space="preserve">    </w:t>
      </w:r>
      <w:r>
        <w:rPr>
          <w:sz w:val="32"/>
        </w:rPr>
        <w:t>5）有权定期或不定期对乙方工作进行综合工作监督检查。</w:t>
      </w:r>
    </w:p>
    <w:p>
      <w:pPr>
        <w:jc w:val="both"/>
      </w:pPr>
      <w:r>
        <w:rPr>
          <w:sz w:val="32"/>
        </w:rPr>
        <w:t xml:space="preserve">    </w:t>
      </w:r>
      <w:r>
        <w:rPr>
          <w:sz w:val="32"/>
        </w:rPr>
        <w:t>2.甲方责任及义务</w:t>
      </w:r>
    </w:p>
    <w:p>
      <w:pPr>
        <w:jc w:val="both"/>
      </w:pPr>
      <w:r>
        <w:rPr>
          <w:sz w:val="32"/>
        </w:rPr>
        <w:t xml:space="preserve">    </w:t>
      </w:r>
      <w:r>
        <w:rPr>
          <w:sz w:val="32"/>
        </w:rPr>
        <w:t>1）甲方提供该食堂运营所需的场地及食材、水、电、气等基础条件，现有厨房的设施设备，并承担食堂运营所需食材、水、电、气费，大型设备设施及消防设施添置费，食堂当值工作人员的工作餐、食材、粮油、调味品、一次性餐具餐盒、洗消药剂、餐巾纸、牙签、打包袋，以及单次1000元以上的设备维修费。乙方必须合理、规范使用甲方提供的设备、设施和物资，如有丢失、浪费等非正常损耗，乙方需按实赔偿。甲方为乙方提供的食堂各种厨房用具和设备（以签订合同时清点的种类和数量为准）为甲方资产，双方清点造册后交乙方管理、使用，服务期满乙方不能带走。</w:t>
      </w:r>
    </w:p>
    <w:p>
      <w:pPr>
        <w:jc w:val="both"/>
      </w:pPr>
      <w:r>
        <w:rPr>
          <w:sz w:val="32"/>
        </w:rPr>
        <w:t xml:space="preserve">    </w:t>
      </w:r>
      <w:r>
        <w:rPr>
          <w:sz w:val="32"/>
        </w:rPr>
        <w:t>2）按合同约定支付乙方食堂管理服务费用。</w:t>
      </w:r>
    </w:p>
    <w:p>
      <w:pPr>
        <w:jc w:val="both"/>
      </w:pPr>
      <w:r>
        <w:rPr>
          <w:sz w:val="32"/>
        </w:rPr>
        <w:t xml:space="preserve">    </w:t>
      </w:r>
      <w:r>
        <w:rPr>
          <w:sz w:val="32"/>
        </w:rPr>
        <w:t>3）每月对乙方的综合服务质量进行考评和满意度测评，如有必要，可附上有关情况或证据资料，评定结果可由乙方现场经理或其他人员签收，作为对乙方履约服务质量进行评价和按照合同第六条约定对乙方违约情形进行追责和处罚的主要依据。</w:t>
      </w:r>
    </w:p>
    <w:p>
      <w:pPr>
        <w:jc w:val="both"/>
      </w:pPr>
      <w:r>
        <w:rPr>
          <w:sz w:val="32"/>
        </w:rPr>
        <w:t xml:space="preserve">    </w:t>
      </w:r>
      <w:r>
        <w:rPr>
          <w:sz w:val="32"/>
        </w:rPr>
        <w:t>3.乙方权利</w:t>
      </w:r>
    </w:p>
    <w:p>
      <w:pPr>
        <w:jc w:val="both"/>
      </w:pPr>
      <w:r>
        <w:rPr>
          <w:sz w:val="32"/>
        </w:rPr>
        <w:t xml:space="preserve">    </w:t>
      </w:r>
      <w:r>
        <w:rPr>
          <w:sz w:val="32"/>
        </w:rPr>
        <w:t>1）乙方有权根据合同约定收取服务费用。</w:t>
      </w:r>
    </w:p>
    <w:p>
      <w:pPr>
        <w:jc w:val="both"/>
      </w:pPr>
      <w:r>
        <w:rPr>
          <w:sz w:val="32"/>
        </w:rPr>
        <w:t xml:space="preserve">    </w:t>
      </w:r>
      <w:r>
        <w:rPr>
          <w:sz w:val="32"/>
        </w:rPr>
        <w:t>2）乙方应在使用前检查甲方提供的所有设备和用具，发现明显问题应立即通知甲方，以便让甲方及时进行修理或更换。如上述设备及用具发生正常损耗或磨损，乙方不负责赔偿。</w:t>
      </w:r>
    </w:p>
    <w:p>
      <w:pPr>
        <w:jc w:val="both"/>
      </w:pPr>
      <w:r>
        <w:rPr>
          <w:sz w:val="32"/>
        </w:rPr>
        <w:t xml:space="preserve">    </w:t>
      </w:r>
      <w:r>
        <w:rPr>
          <w:sz w:val="32"/>
        </w:rPr>
        <w:t>4.乙方责任及义务</w:t>
      </w:r>
    </w:p>
    <w:p>
      <w:pPr>
        <w:jc w:val="both"/>
      </w:pPr>
      <w:r>
        <w:rPr>
          <w:sz w:val="32"/>
        </w:rPr>
        <w:t xml:space="preserve">    </w:t>
      </w:r>
      <w:r>
        <w:rPr>
          <w:sz w:val="32"/>
        </w:rPr>
        <w:t>1）负责早餐、午餐、晚餐以及烧腊套餐、手工粉面、特殊饮食、会务工作餐及不定期正式围餐服务的菜单制订、配餐、原材料申购下单、食材验收、加工及烹调制作、规范储存，菜单定期更新和新菜式的研发，食材溯源凭证收取和台账规范登记。</w:t>
      </w:r>
    </w:p>
    <w:p>
      <w:pPr>
        <w:jc w:val="both"/>
      </w:pPr>
      <w:r>
        <w:rPr>
          <w:sz w:val="32"/>
        </w:rPr>
        <w:t xml:space="preserve">    </w:t>
      </w:r>
      <w:r>
        <w:rPr>
          <w:sz w:val="32"/>
        </w:rPr>
        <w:t>2）乙方负责承担食堂工作人员的工资、法定节假日加班费、住宿、体检费、劳保用品及服装费用、工伤及相关费用、五险一金、高温补贴、食堂工作人员防疫物资、行政办公及宣传标识和宣教用品、厨余垃圾合法处置与外运费、排污管道按需清理和排烟罩除油清洗费（每季度一次）、小件生产服务用品（餐具、刀具、砧板、洗菜盆框、配菜碗碟、清洁工具、餐线隔离带、防滑地垫等）的按需添置费、年度赔付额不低于500万元的公共责任险和年度赔付额不低于500万元的食品安全责任险、甲方食堂现有设备所发生的单次1000 元以下的设备故障修缮费。乙方负责与食堂工作人员建立劳动合同关系，乙方派驻工作人员与甲方不具有《劳动法》、《劳动合同法》所规定的劳动合同关系。</w:t>
      </w:r>
    </w:p>
    <w:p>
      <w:pPr>
        <w:jc w:val="both"/>
      </w:pPr>
      <w:r>
        <w:rPr>
          <w:sz w:val="32"/>
        </w:rPr>
        <w:t xml:space="preserve">    </w:t>
      </w:r>
      <w:r>
        <w:rPr>
          <w:sz w:val="32"/>
        </w:rPr>
        <w:t>3）乙方必须遵守甲方的各项规定制度，切实做好综合支持服务工作，不得将甲方委托的综合服务工作的整体或部分责任及利益转让给他人或其他单位。</w:t>
      </w:r>
    </w:p>
    <w:p>
      <w:pPr>
        <w:jc w:val="both"/>
      </w:pPr>
      <w:r>
        <w:rPr>
          <w:sz w:val="32"/>
        </w:rPr>
        <w:t xml:space="preserve">    </w:t>
      </w:r>
      <w:r>
        <w:rPr>
          <w:sz w:val="32"/>
        </w:rPr>
        <w:t>4）乙方应遵守甲乙双方内部制定的有关食品安全的卫生常规，遵守国家有关食品、饮食业卫生安全的法律法规和规定，如因乙方人员（含钟点工）操作失误或人为导致的食物中毒、火灾、生产安全事故或其他供餐责任事故，导致甲方、乙方（含钟点工）或第三方人员伤亡或财物损失，经相关卫生防疫/消防部门确定是乙方责任，由乙方依法承担因此产生的经济、法律责任。</w:t>
      </w:r>
    </w:p>
    <w:p>
      <w:pPr>
        <w:jc w:val="both"/>
      </w:pPr>
      <w:r>
        <w:rPr>
          <w:sz w:val="32"/>
        </w:rPr>
        <w:t xml:space="preserve">    </w:t>
      </w:r>
      <w:r>
        <w:rPr>
          <w:sz w:val="32"/>
        </w:rPr>
        <w:t>5）乙方必须为乙方工作人员购买社保，严格执行国家劳动法规及有关安全生产操作规程，如乙方员工（含临时工）发生劳务、劳动纠纷、工伤、纠葛、打架斗殴、疾病乃至死亡的一切责任及费用由乙方全部负责；乙方要处理好内部员工纠纷问题，不得将矛盾激化或将矛盾推向甲方而影响甲方的正常工作；如发生因乙方无能力或不积极不及时处理内部矛盾或管理问题而影响到甲方正常工作秩序的，由此引起甲方损失及费用从未支付的服务费中扣除，情节严重甲方有权终止合同，由此所导致的一切后果由乙方承担。</w:t>
      </w:r>
    </w:p>
    <w:p>
      <w:pPr>
        <w:jc w:val="both"/>
      </w:pPr>
      <w:r>
        <w:rPr>
          <w:sz w:val="32"/>
        </w:rPr>
        <w:t xml:space="preserve">    </w:t>
      </w:r>
      <w:r>
        <w:rPr>
          <w:sz w:val="32"/>
        </w:rPr>
        <w:t>6）乙方负责保管甲方提供的一切物资，以及物质、设备的维修保养管理，若物资发生人为损坏，乙方需照价赔偿；未经甲方同意，不准私自改造甲方提供的一切建筑物和设备、设施。</w:t>
      </w:r>
    </w:p>
    <w:p>
      <w:pPr>
        <w:jc w:val="both"/>
      </w:pPr>
      <w:r>
        <w:rPr>
          <w:sz w:val="32"/>
        </w:rPr>
        <w:t xml:space="preserve">    </w:t>
      </w:r>
      <w:r>
        <w:rPr>
          <w:sz w:val="32"/>
        </w:rPr>
        <w:t>7）乙方负责约束并监督其服务工作人员遵守甲方单位的廉正纪律，避免出现任何索贿、收受贿赂、截收甲方营业款、接受馈赠等现象。上述情节一经查实，依本合同第四条相关规定处理。</w:t>
      </w:r>
    </w:p>
    <w:p>
      <w:pPr>
        <w:jc w:val="both"/>
      </w:pPr>
      <w:r>
        <w:rPr>
          <w:sz w:val="32"/>
        </w:rPr>
        <w:t xml:space="preserve">    </w:t>
      </w:r>
      <w:r>
        <w:rPr>
          <w:sz w:val="32"/>
        </w:rPr>
        <w:t>8）乙方负责向保险公司购买公众责任险，年度赔付额不低于人民币500万元（含火灾、意外伤害等责任赔付）；乙方负责向保险公司购买食品安全责任险，年度赔付额不低于人民币500万元，相关费用由乙方承担。</w:t>
      </w:r>
    </w:p>
    <w:p>
      <w:pPr>
        <w:jc w:val="both"/>
      </w:pPr>
      <w:r>
        <w:rPr>
          <w:sz w:val="32"/>
        </w:rPr>
        <w:t xml:space="preserve">    </w:t>
      </w:r>
      <w:r>
        <w:rPr>
          <w:sz w:val="32"/>
        </w:rPr>
        <w:t>9）某些特定清洁用品可能会影响人体健康，乙方使用清洁用品时须最大限度地限制这种危险。乙方应选用符合国家行业标准的饮食行业专用清洁剂，并规范使用、妥善保管，指定专人对该项工作进行监管、记录，对所有使用清洁剂的岗位人员进行岗前培训和使用过程监督，并在有关清洁剂上贴附安全使用标志，做好清洁剂日常使用频率和使用量记录供甲方核查。</w:t>
      </w:r>
    </w:p>
    <w:p>
      <w:pPr>
        <w:jc w:val="both"/>
      </w:pPr>
      <w:r>
        <w:rPr>
          <w:sz w:val="32"/>
        </w:rPr>
        <w:t xml:space="preserve">    </w:t>
      </w:r>
      <w:r>
        <w:rPr>
          <w:sz w:val="32"/>
        </w:rPr>
        <w:t>10）乙方应按规定时限向甲方提交月度工作总结、每月库房盘点报表、食堂运营收支等综合服务数据报表，做好食品安全台账规范记录，并以此作为定期考核检查内容。</w:t>
      </w:r>
    </w:p>
    <w:p>
      <w:pPr>
        <w:jc w:val="both"/>
      </w:pPr>
      <w:r>
        <w:rPr>
          <w:sz w:val="32"/>
        </w:rPr>
        <w:t xml:space="preserve">    </w:t>
      </w:r>
      <w:r>
        <w:rPr>
          <w:sz w:val="32"/>
        </w:rPr>
        <w:t>11）乙方应确保在遇到突发事件（如突发断水断电、地震、台风及洪涝灾害等）能提供应急餐饮服务（含早、午、晚餐）或由乙方中央厨房组织餐食、饮水应急配送服务。</w:t>
      </w:r>
    </w:p>
    <w:p>
      <w:pPr>
        <w:jc w:val="both"/>
      </w:pPr>
      <w:r>
        <w:rPr>
          <w:sz w:val="32"/>
        </w:rPr>
        <w:t xml:space="preserve">    </w:t>
      </w:r>
      <w:r>
        <w:rPr>
          <w:sz w:val="32"/>
        </w:rPr>
        <w:t>12）乙方在服务甲方期间，应按照甲方要求做好甲方有关信息的保密工作。</w:t>
      </w:r>
    </w:p>
    <w:p>
      <w:pPr>
        <w:jc w:val="both"/>
      </w:pPr>
      <w:r>
        <w:rPr>
          <w:sz w:val="32"/>
        </w:rPr>
        <w:t xml:space="preserve">    </w:t>
      </w:r>
      <w:r>
        <w:rPr>
          <w:sz w:val="32"/>
        </w:rPr>
        <w:t>13）乙方要将所有结算单据等资料收集齐全、建立专档，保存至合同期满，以备监督管理部门进行监督检查。</w:t>
      </w:r>
    </w:p>
    <w:p>
      <w:pPr>
        <w:jc w:val="both"/>
      </w:pPr>
      <w:r>
        <w:rPr>
          <w:sz w:val="32"/>
        </w:rPr>
        <w:t xml:space="preserve">    </w:t>
      </w:r>
      <w:r>
        <w:rPr>
          <w:sz w:val="32"/>
        </w:rPr>
        <w:t>14）乙方每天须指定专人根据就餐情况做好第二天所需采购的主副食品品种、数量，向甲方报备以方便向供应商订货；按甲方所核定的价格进行售卖，尽量保证饭菜售完不剩余。</w:t>
      </w:r>
    </w:p>
    <w:p>
      <w:pPr>
        <w:jc w:val="both"/>
      </w:pPr>
      <w:r>
        <w:rPr>
          <w:sz w:val="32"/>
        </w:rPr>
        <w:t xml:space="preserve">    </w:t>
      </w:r>
      <w:r>
        <w:rPr>
          <w:sz w:val="32"/>
        </w:rPr>
        <w:t>15）提供本合同及附件约定服务所需的资格和相关许可证明，严格履行本项目《采购需求》所列服务要求、标准及内容。</w:t>
      </w:r>
    </w:p>
    <w:p>
      <w:pPr>
        <w:jc w:val="both"/>
      </w:pPr>
      <w:r>
        <w:rPr>
          <w:sz w:val="32"/>
        </w:rPr>
        <w:t xml:space="preserve">    </w:t>
      </w:r>
      <w:r>
        <w:rPr>
          <w:sz w:val="32"/>
        </w:rPr>
        <w:t>16)乙方人员与甲方不具有任何的雇佣关系或劳务关系，乙方人员发生工伤等事故的，由乙方承担责任，如甲方为了结纠纷，先行垫付款项的，甲方有权向乙方追偿，并可主张因追偿而产生的合理费用，包括且不限于律师费等，甲方可在乙方的服务费中进行抵扣。</w:t>
      </w:r>
    </w:p>
    <w:p>
      <w:pPr>
        <w:jc w:val="both"/>
      </w:pPr>
      <w:r>
        <w:rPr>
          <w:b/>
          <w:sz w:val="21"/>
        </w:rPr>
        <w:t xml:space="preserve">   </w:t>
      </w:r>
      <w:r>
        <w:rPr>
          <w:b/>
          <w:sz w:val="32"/>
        </w:rPr>
        <w:t xml:space="preserve">  </w:t>
      </w:r>
      <w:r>
        <w:rPr>
          <w:b/>
          <w:sz w:val="32"/>
        </w:rPr>
        <w:t>五、合同服务期</w:t>
      </w:r>
      <w:r>
        <w:rPr>
          <w:b/>
          <w:sz w:val="32"/>
        </w:rPr>
        <w:t>限</w:t>
      </w:r>
    </w:p>
    <w:p>
      <w:pPr>
        <w:jc w:val="both"/>
      </w:pPr>
      <w:r>
        <w:rPr>
          <w:sz w:val="32"/>
        </w:rPr>
        <w:t xml:space="preserve">    </w:t>
      </w:r>
      <w:r>
        <w:rPr>
          <w:sz w:val="32"/>
        </w:rPr>
        <w:t>招标委托服务合同期自</w:t>
      </w:r>
      <w:r>
        <w:rPr>
          <w:sz w:val="32"/>
        </w:rPr>
        <w:t>2024年  月  日至2026年 月  日止，但如合同期间乙方服务质量不达标，达到本合同及甲方招标需求规定的甲方单方解除合同条件，则甲方有权提前终止合同。</w:t>
      </w:r>
    </w:p>
    <w:p>
      <w:pPr>
        <w:ind w:firstLine="643"/>
        <w:jc w:val="both"/>
      </w:pPr>
      <w:r>
        <w:rPr>
          <w:b/>
          <w:sz w:val="32"/>
        </w:rPr>
        <w:t>六、服务质量和运营成本管控考核</w:t>
      </w:r>
    </w:p>
    <w:p>
      <w:pPr>
        <w:ind w:firstLine="640"/>
        <w:jc w:val="left"/>
      </w:pPr>
      <w:r>
        <w:rPr>
          <w:sz w:val="32"/>
        </w:rPr>
        <w:t>甲方将对乙方开展月度服务质量考评和运营成本管控奖罚考评，考评由甲方有关职能管理部门负责实施。</w:t>
      </w:r>
    </w:p>
    <w:p>
      <w:pPr>
        <w:ind w:firstLine="640"/>
        <w:jc w:val="left"/>
      </w:pPr>
      <w:r>
        <w:rPr>
          <w:sz w:val="32"/>
        </w:rPr>
        <w:t>1.食堂月度服务质量考核依据合同后附表之《食堂服务综合考核表》所列项目和标准实施。</w:t>
      </w:r>
    </w:p>
    <w:p>
      <w:pPr>
        <w:ind w:firstLine="640"/>
        <w:jc w:val="left"/>
      </w:pPr>
      <w:r>
        <w:rPr>
          <w:sz w:val="32"/>
        </w:rPr>
        <w:t>2.乙方月度服务综合考核结果＜75分，乙方除向甲方提交整改报告外，考评当月的服务费按当月核定费用*（1-5%）结算；若当月考评结果＜70分，乙方除向甲方提交整改报告外，考评当月服务费按当月核定费用*（1-10%）结算；若当月考评结果＜60分，甲方除提出警告及由乙方提交整改报告外，考评当月服务费按当月核定费用*（1-15%）结算；如月度考评连续两月＜60分，甲方除按约定扣减乙方服务费外，有权单方终止合同，责令乙方限期无条件撤场。</w:t>
      </w:r>
    </w:p>
    <w:p>
      <w:pPr>
        <w:ind w:firstLine="640"/>
        <w:jc w:val="both"/>
      </w:pPr>
      <w:r>
        <w:rPr>
          <w:sz w:val="32"/>
        </w:rPr>
        <w:t>3.月度运营成本管控奖罚考评实施办法：采购人将每月食材、易耗品及水电费（此部分费用均为采购人支付费用）占销售额（中标人每月根据采购人提供的食材进行加工形成餐饮成品并通过食堂销售的总金额）比例基准值定为78.5%，采购人食堂当月食材、易耗品及水电费发生额占比＞80%时，采购人按超出80%占比部分金额的50%扣减中标供应商当月服务费；如当月食堂职工及患者服务满意度统计均值≥80%，且当月采购人食材、易耗品及水电费发生额占销售额比例＜77%时，采购人按低于77%占比部分节余金额的50%奖励中标供应商，并在当月服务费结算时兑现。月度成本管控奖罚考评办法春节当月暂不实施。</w:t>
      </w:r>
    </w:p>
    <w:p>
      <w:pPr>
        <w:jc w:val="both"/>
      </w:pPr>
      <w:r>
        <w:rPr>
          <w:sz w:val="32"/>
        </w:rPr>
        <w:t xml:space="preserve">    </w:t>
      </w:r>
      <w:r>
        <w:rPr>
          <w:sz w:val="32"/>
        </w:rPr>
        <w:t>4.以上质量考核和成本管控考核办法实施每满一年应进行回顾，食堂成本管控考核办法如遇食材、易耗品市场价格异常波动等特殊情形时，经甲乙双方一方提出、双方协商议定后，可予以修改调整。</w:t>
      </w:r>
    </w:p>
    <w:p>
      <w:pPr>
        <w:ind w:firstLine="643"/>
        <w:jc w:val="both"/>
      </w:pPr>
      <w:r>
        <w:rPr>
          <w:b/>
          <w:sz w:val="32"/>
        </w:rPr>
        <w:t>七、</w:t>
      </w:r>
      <w:r>
        <w:rPr>
          <w:b/>
          <w:sz w:val="32"/>
        </w:rPr>
        <w:t>违约责任与赔偿损失</w:t>
      </w:r>
    </w:p>
    <w:p>
      <w:pPr>
        <w:jc w:val="both"/>
      </w:pPr>
      <w:r>
        <w:rPr>
          <w:sz w:val="21"/>
        </w:rPr>
        <w:t xml:space="preserve">      </w:t>
      </w:r>
      <w:r>
        <w:rPr>
          <w:sz w:val="32"/>
        </w:rPr>
        <w:t>1.乙方提供的服务不符合招标文件、投标文件或本合同规定的，甲方有权终止合同。</w:t>
      </w:r>
    </w:p>
    <w:p>
      <w:pPr>
        <w:jc w:val="both"/>
      </w:pPr>
      <w:r>
        <w:rPr>
          <w:sz w:val="32"/>
        </w:rPr>
        <w:t xml:space="preserve">    </w:t>
      </w:r>
      <w:r>
        <w:rPr>
          <w:sz w:val="32"/>
        </w:rPr>
        <w:t>2.乙方未能按甲方及合同服务要求落实相关服务工作的，甲方有权视乎情节严重程度决定是否解除合同。</w:t>
      </w:r>
    </w:p>
    <w:p>
      <w:pPr>
        <w:jc w:val="both"/>
      </w:pPr>
      <w:r>
        <w:rPr>
          <w:sz w:val="32"/>
        </w:rPr>
        <w:t xml:space="preserve">    </w:t>
      </w:r>
      <w:r>
        <w:rPr>
          <w:sz w:val="32"/>
        </w:rPr>
        <w:t>3.</w:t>
      </w:r>
      <w:r>
        <w:rPr>
          <w:sz w:val="21"/>
        </w:rPr>
        <w:t xml:space="preserve"> </w:t>
      </w:r>
      <w:r>
        <w:rPr>
          <w:sz w:val="32"/>
        </w:rPr>
        <w:t>若因乙方未履行本合同约定的义务造成甲方向第三人承担赔偿责任的，该赔偿责任由乙方代为承担。乙方拒不承担的，甲方有权在应当支付给乙方的费用中抵扣。</w:t>
      </w:r>
    </w:p>
    <w:p>
      <w:pPr>
        <w:ind w:firstLine="640"/>
        <w:jc w:val="both"/>
      </w:pPr>
      <w:r>
        <w:rPr>
          <w:sz w:val="32"/>
        </w:rPr>
        <w:t>4</w:t>
      </w:r>
      <w:r>
        <w:rPr>
          <w:sz w:val="32"/>
        </w:rPr>
        <w:t>.</w:t>
      </w:r>
      <w:r>
        <w:rPr>
          <w:sz w:val="32"/>
        </w:rPr>
        <w:t>乙方在合同期内，在加工、服务过程中因故意或疏忽导致的火灾、严重食品安全责任事故、刑事案件等重大不良事件，经相关卫监</w:t>
      </w:r>
      <w:r>
        <w:rPr>
          <w:sz w:val="32"/>
        </w:rPr>
        <w:t xml:space="preserve">/公安部门鉴定属实，应承担全部责任及费用；甲方有权依法追究乙方经济、法律责任，并有权单方解除服务合同。  </w:t>
      </w:r>
    </w:p>
    <w:p>
      <w:pPr>
        <w:jc w:val="both"/>
      </w:pPr>
      <w:r>
        <w:rPr>
          <w:sz w:val="21"/>
        </w:rPr>
        <w:t xml:space="preserve">    </w:t>
      </w:r>
      <w:r>
        <w:rPr>
          <w:sz w:val="32"/>
        </w:rPr>
        <w:t>5</w:t>
      </w:r>
      <w:r>
        <w:rPr>
          <w:sz w:val="32"/>
        </w:rPr>
        <w:t>.乙方应按时每月发放本项目内员工工资及其他费用。如未按时发放员工工资及其他费用而不能合理说明原因的视为违约，甲方可从服务费中代发。</w:t>
      </w:r>
    </w:p>
    <w:p>
      <w:pPr>
        <w:jc w:val="both"/>
      </w:pPr>
      <w:r>
        <w:rPr>
          <w:sz w:val="21"/>
        </w:rPr>
        <w:t xml:space="preserve">    </w:t>
      </w:r>
      <w:r>
        <w:rPr>
          <w:sz w:val="32"/>
        </w:rPr>
        <w:t>6</w:t>
      </w:r>
      <w:r>
        <w:rPr>
          <w:sz w:val="32"/>
        </w:rPr>
        <w:t>.乙方当天未按时间开餐、出现一次情况的，由甲方向乙方提出口头警告，乙方须向甲方书面保证；每月三次（含）以上扣当月服务费总价的1%；如每月超过五次不符合要求，或合同期限内累计超过8次的，甲方可单方解除合同，但因甲方设备或水电、燃气等甲方原因造成的除外。</w:t>
      </w:r>
    </w:p>
    <w:p>
      <w:pPr>
        <w:jc w:val="both"/>
      </w:pPr>
      <w:r>
        <w:rPr>
          <w:sz w:val="21"/>
        </w:rPr>
        <w:t xml:space="preserve">    </w:t>
      </w:r>
      <w:r>
        <w:rPr>
          <w:sz w:val="32"/>
        </w:rPr>
        <w:t>7</w:t>
      </w:r>
      <w:r>
        <w:rPr>
          <w:sz w:val="32"/>
        </w:rPr>
        <w:t>.因乙方所烹饪食品造成甲方或第三方人员食物中毒的，经卫生防疫部门鉴定属实，乙方须承担全部责任，甲方可单方解除合同。</w:t>
      </w:r>
    </w:p>
    <w:p>
      <w:pPr>
        <w:jc w:val="both"/>
      </w:pPr>
      <w:r>
        <w:rPr>
          <w:sz w:val="21"/>
        </w:rPr>
        <w:t xml:space="preserve">    </w:t>
      </w:r>
      <w:r>
        <w:rPr>
          <w:sz w:val="32"/>
        </w:rPr>
        <w:t>8</w:t>
      </w:r>
      <w:r>
        <w:rPr>
          <w:sz w:val="32"/>
        </w:rPr>
        <w:t>.如按照上述方式解除合同后，乙方应当另行按解除合同当月管理服务费的双倍向甲方支付违约金，并赔偿因此而带来的额外损失。</w:t>
      </w:r>
    </w:p>
    <w:p>
      <w:pPr>
        <w:ind w:firstLine="640"/>
        <w:jc w:val="both"/>
      </w:pPr>
      <w:r>
        <w:rPr>
          <w:sz w:val="32"/>
        </w:rPr>
        <w:t>9</w:t>
      </w:r>
      <w:r>
        <w:rPr>
          <w:sz w:val="32"/>
        </w:rPr>
        <w:t>.违约金支付办法：从甲方应支付乙方费用中扣减，若仍不足以支付，乙方仍需补足。乙方逾期支付每日按照未支付金额的1‰另行向甲方支付违约金。</w:t>
      </w:r>
    </w:p>
    <w:p>
      <w:pPr>
        <w:jc w:val="both"/>
      </w:pPr>
      <w:r>
        <w:rPr>
          <w:sz w:val="21"/>
        </w:rPr>
        <w:t xml:space="preserve">    </w:t>
      </w:r>
      <w:r>
        <w:rPr>
          <w:sz w:val="32"/>
        </w:rPr>
        <w:t>10</w:t>
      </w:r>
      <w:r>
        <w:rPr>
          <w:sz w:val="32"/>
        </w:rPr>
        <w:t>.甲方如无故逾期支付乙方服务费用，造成乙方员工工资无法发放时，甲方每日按照应付未付金额的1‰向乙方支付违约金。如超过30天未支付的，乙方有权解除合同。</w:t>
      </w:r>
    </w:p>
    <w:p>
      <w:pPr>
        <w:jc w:val="both"/>
      </w:pPr>
      <w:r>
        <w:rPr>
          <w:sz w:val="32"/>
        </w:rPr>
        <w:t xml:space="preserve">    </w:t>
      </w:r>
      <w:r>
        <w:rPr>
          <w:sz w:val="32"/>
        </w:rPr>
        <w:t>1</w:t>
      </w:r>
      <w:r>
        <w:rPr>
          <w:sz w:val="32"/>
        </w:rPr>
        <w:t>1</w:t>
      </w:r>
      <w:r>
        <w:rPr>
          <w:sz w:val="32"/>
        </w:rPr>
        <w:t>.其它违约责任按《中华人民共和国民法典》处理。</w:t>
      </w:r>
    </w:p>
    <w:p>
      <w:pPr>
        <w:jc w:val="both"/>
      </w:pPr>
      <w:r>
        <w:rPr>
          <w:sz w:val="32"/>
        </w:rPr>
        <w:t xml:space="preserve">    </w:t>
      </w:r>
      <w:r>
        <w:rPr>
          <w:sz w:val="32"/>
        </w:rPr>
        <w:t>1</w:t>
      </w:r>
      <w:r>
        <w:rPr>
          <w:sz w:val="32"/>
        </w:rPr>
        <w:t>2</w:t>
      </w:r>
      <w:r>
        <w:rPr>
          <w:sz w:val="32"/>
        </w:rPr>
        <w:t>.本合同所称损失包括但不限于诉讼费、律师费、鉴定费、保全费等一切合理支出。</w:t>
      </w:r>
    </w:p>
    <w:p>
      <w:pPr>
        <w:ind w:firstLine="643"/>
        <w:jc w:val="both"/>
      </w:pPr>
      <w:r>
        <w:rPr>
          <w:b/>
          <w:sz w:val="32"/>
        </w:rPr>
        <w:t>八、争端的解决</w:t>
      </w:r>
    </w:p>
    <w:p>
      <w:pPr>
        <w:jc w:val="both"/>
      </w:pPr>
      <w:r>
        <w:rPr>
          <w:sz w:val="32"/>
        </w:rPr>
        <w:t xml:space="preserve">    </w:t>
      </w:r>
      <w:r>
        <w:rPr>
          <w:sz w:val="32"/>
        </w:rPr>
        <w:t>合同履行过程中发生的任何争议，如双方不能通过友好协商解决，甲、乙双方一致同意向甲方所在地人民法院提起诉讼。</w:t>
      </w:r>
    </w:p>
    <w:p>
      <w:pPr>
        <w:ind w:firstLine="643"/>
        <w:jc w:val="both"/>
      </w:pPr>
      <w:r>
        <w:rPr>
          <w:b/>
          <w:sz w:val="32"/>
        </w:rPr>
        <w:t>九、不可抗力</w:t>
      </w:r>
    </w:p>
    <w:p>
      <w:pPr>
        <w:jc w:val="both"/>
      </w:pPr>
      <w:r>
        <w:rPr>
          <w:sz w:val="32"/>
        </w:rPr>
        <w:t xml:space="preserve">    </w:t>
      </w:r>
      <w:r>
        <w:rPr>
          <w:sz w:val="32"/>
        </w:rPr>
        <w:t>任何一方由于不可抗力原因不能履行合同时，应在不可抗力事件结束后</w:t>
      </w:r>
      <w:r>
        <w:rPr>
          <w:sz w:val="32"/>
        </w:rPr>
        <w:t>1 日内向对方通报，以减轻可能给对方造成的损失，在取得有关机构的不可抗力证明或双方谅解确认后，允许延期履行或修订合同，并根据情况可部分或全部免于承担违约责任。</w:t>
      </w:r>
    </w:p>
    <w:p>
      <w:pPr>
        <w:ind w:firstLine="643"/>
        <w:jc w:val="both"/>
      </w:pPr>
      <w:r>
        <w:rPr>
          <w:b/>
          <w:sz w:val="32"/>
        </w:rPr>
        <w:t>十、税费</w:t>
      </w:r>
    </w:p>
    <w:p>
      <w:pPr>
        <w:jc w:val="both"/>
      </w:pPr>
      <w:r>
        <w:rPr>
          <w:sz w:val="32"/>
        </w:rPr>
        <w:t xml:space="preserve">    </w:t>
      </w:r>
      <w:r>
        <w:rPr>
          <w:sz w:val="32"/>
        </w:rPr>
        <w:t>在中国境内、外发生与本合同履行有关的一切税费均由乙方负担。</w:t>
      </w:r>
    </w:p>
    <w:p>
      <w:pPr>
        <w:ind w:firstLine="643"/>
        <w:jc w:val="both"/>
      </w:pPr>
      <w:r>
        <w:rPr>
          <w:b/>
          <w:sz w:val="32"/>
        </w:rPr>
        <w:t>十一、其它</w:t>
      </w:r>
    </w:p>
    <w:p>
      <w:pPr>
        <w:jc w:val="both"/>
      </w:pPr>
      <w:r>
        <w:rPr>
          <w:sz w:val="32"/>
        </w:rPr>
        <w:t xml:space="preserve">    </w:t>
      </w:r>
      <w:r>
        <w:rPr>
          <w:sz w:val="32"/>
        </w:rPr>
        <w:t>1.本合同所有附件、招标文件、投标文件、中标通知书均为合同的有效组成部分，与本合同具同等法律效力，其它未尽事宜按甲乙双方另行签订的补充协议为准。</w:t>
      </w:r>
    </w:p>
    <w:p>
      <w:pPr>
        <w:jc w:val="both"/>
      </w:pPr>
      <w:r>
        <w:rPr>
          <w:sz w:val="32"/>
        </w:rPr>
        <w:t xml:space="preserve">    </w:t>
      </w:r>
      <w:r>
        <w:rPr>
          <w:sz w:val="32"/>
        </w:rPr>
        <w:t>2.在执行本合同过程中，所有经甲乙双方签署确认的文件（包括会议纪要、补充协议、往来信函）即成为本合同的有效组成部分。</w:t>
      </w:r>
    </w:p>
    <w:p>
      <w:pPr>
        <w:jc w:val="both"/>
      </w:pPr>
      <w:r>
        <w:rPr>
          <w:sz w:val="32"/>
        </w:rPr>
        <w:t xml:space="preserve">    </w:t>
      </w:r>
      <w:r>
        <w:rPr>
          <w:sz w:val="32"/>
        </w:rPr>
        <w:t>3.如一方地址、电话、传真号码有变更，应在变更当日内书面通知对方，否则，应承担相应责任。</w:t>
      </w:r>
    </w:p>
    <w:p>
      <w:pPr>
        <w:jc w:val="both"/>
      </w:pPr>
      <w:r>
        <w:rPr>
          <w:sz w:val="32"/>
        </w:rPr>
        <w:t xml:space="preserve">    </w:t>
      </w:r>
      <w:r>
        <w:rPr>
          <w:sz w:val="32"/>
        </w:rPr>
        <w:t>4.除甲方事先书面同意外，乙方不得部分或全部转让其应履行的合同项下的义务。</w:t>
      </w:r>
    </w:p>
    <w:p>
      <w:pPr>
        <w:ind w:firstLine="643"/>
        <w:jc w:val="both"/>
      </w:pPr>
      <w:r>
        <w:rPr>
          <w:b/>
          <w:sz w:val="32"/>
        </w:rPr>
        <w:t>十二、合同生效</w:t>
      </w:r>
    </w:p>
    <w:p>
      <w:pPr>
        <w:ind w:firstLine="640"/>
        <w:jc w:val="both"/>
      </w:pPr>
      <w:r>
        <w:rPr>
          <w:sz w:val="32"/>
        </w:rPr>
        <w:t>1.合同自甲乙双方法人代表或其签约代表签字盖章之日起生效。</w:t>
      </w:r>
    </w:p>
    <w:p>
      <w:pPr>
        <w:ind w:firstLine="640"/>
        <w:jc w:val="both"/>
      </w:pPr>
      <w:r>
        <w:rPr>
          <w:sz w:val="32"/>
        </w:rPr>
        <w:t>2.合同壹式伍份，其中甲乙双方各执贰份，采购代理机构执壹份，具有同等法律效力。</w:t>
      </w:r>
    </w:p>
    <w:p>
      <w:pPr>
        <w:ind w:firstLine="643"/>
        <w:jc w:val="both"/>
      </w:pPr>
      <w:r>
        <w:rPr>
          <w:b/>
          <w:sz w:val="32"/>
        </w:rPr>
        <w:t>十三、食堂服务综合考核表</w:t>
      </w:r>
    </w:p>
    <w:tbl>
      <w:tblPr>
        <w:tblW w:w="0" w:type="auto"/>
        <w:tblBorders>
          <w:top w:val="none" w:color="000000" w:sz="4"/>
          <w:left w:val="none" w:color="000000" w:sz="4"/>
          <w:bottom w:val="none" w:color="000000" w:sz="4"/>
          <w:right w:val="none" w:color="000000" w:sz="4"/>
          <w:insideH w:val="none"/>
          <w:insideV w:val="none"/>
        </w:tblBorders>
      </w:tblPr>
      <w:tblGrid>
        <w:gridCol w:w="1083"/>
        <w:gridCol w:w="3359"/>
        <w:gridCol w:w="1237"/>
        <w:gridCol w:w="1237"/>
        <w:gridCol w:w="723"/>
        <w:gridCol w:w="668"/>
      </w:tblGrid>
      <w:tr>
        <w:tc>
          <w:tcPr>
            <w:tcW w:type="dxa" w:w="8307"/>
            <w:gridSpan w:val="6"/>
            <w:tcBorders>
              <w:top w:val="single" w:color="000000" w:sz="4"/>
              <w:left w:val="single" w:color="000000" w:sz="4"/>
              <w:bottom w:val="single" w:color="000000" w:sz="4"/>
              <w:right w:val="single" w:color="000000" w:sz="4"/>
            </w:tcBorders>
            <w:vAlign w:val="top"/>
          </w:tcPr>
          <w:p>
            <w:pPr>
              <w:jc w:val="center"/>
            </w:pPr>
            <w:r>
              <w:rPr>
                <w:b/>
                <w:sz w:val="24"/>
              </w:rPr>
              <w:t>广东省工伤康复中心食堂服务月度综合考核表</w:t>
            </w:r>
            <w:r>
              <w:rPr>
                <w:b/>
                <w:sz w:val="24"/>
              </w:rPr>
              <w:t xml:space="preserve">     </w:t>
            </w:r>
            <w:r>
              <w:rPr>
                <w:b/>
                <w:sz w:val="24"/>
              </w:rPr>
              <w:t>202  年   月</w:t>
            </w:r>
          </w:p>
        </w:tc>
      </w:tr>
      <w:tr>
        <w:tc>
          <w:tcPr>
            <w:tcW w:type="dxa" w:w="1083"/>
            <w:tcBorders>
              <w:top w:val="none" w:color="000000" w:sz="4"/>
              <w:left w:val="single" w:color="000000" w:sz="4"/>
              <w:bottom w:val="single" w:color="000000" w:sz="4"/>
              <w:right w:val="single" w:color="000000" w:sz="4"/>
            </w:tcBorders>
            <w:vAlign w:val="top"/>
          </w:tcPr>
          <w:p>
            <w:pPr>
              <w:jc w:val="both"/>
            </w:pPr>
            <w:r>
              <w:rPr>
                <w:sz w:val="21"/>
              </w:rPr>
              <w:t xml:space="preserve"> </w:t>
            </w:r>
            <w:r>
              <w:rPr>
                <w:sz w:val="21"/>
              </w:rPr>
              <w:t>考核类别</w:t>
            </w:r>
          </w:p>
        </w:tc>
        <w:tc>
          <w:tcPr>
            <w:tcW w:type="dxa" w:w="3359"/>
            <w:tcBorders>
              <w:top w:val="single" w:color="000000" w:sz="4"/>
              <w:left w:val="none" w:color="000000" w:sz="4"/>
              <w:bottom w:val="single" w:color="000000" w:sz="4"/>
              <w:right w:val="single" w:color="000000" w:sz="4"/>
            </w:tcBorders>
            <w:vAlign w:val="top"/>
          </w:tcPr>
          <w:p>
            <w:pPr>
              <w:jc w:val="center"/>
            </w:pPr>
            <w:r>
              <w:rPr>
                <w:sz w:val="21"/>
              </w:rPr>
              <w:t>考核内容</w:t>
            </w:r>
          </w:p>
        </w:tc>
        <w:tc>
          <w:tcPr>
            <w:tcW w:type="dxa" w:w="2474"/>
            <w:gridSpan w:val="2"/>
            <w:tcBorders>
              <w:top w:val="single" w:color="000000" w:sz="4"/>
              <w:left w:val="none" w:color="000000" w:sz="4"/>
              <w:bottom w:val="single" w:color="000000" w:sz="4"/>
              <w:right w:val="single" w:color="000000" w:sz="4"/>
            </w:tcBorders>
            <w:vAlign w:val="top"/>
          </w:tcPr>
          <w:p>
            <w:pPr>
              <w:jc w:val="center"/>
            </w:pPr>
            <w:r>
              <w:rPr>
                <w:sz w:val="21"/>
              </w:rPr>
              <w:t>评分标准</w:t>
            </w:r>
          </w:p>
        </w:tc>
        <w:tc>
          <w:tcPr>
            <w:tcW w:type="dxa" w:w="723"/>
            <w:tcBorders>
              <w:top w:val="single" w:color="000000" w:sz="4"/>
              <w:left w:val="none" w:color="000000" w:sz="4"/>
              <w:bottom w:val="single" w:color="000000" w:sz="4"/>
              <w:right w:val="single" w:color="000000" w:sz="4"/>
            </w:tcBorders>
            <w:vAlign w:val="top"/>
          </w:tcPr>
          <w:p>
            <w:pPr>
              <w:jc w:val="center"/>
            </w:pPr>
            <w:r>
              <w:rPr>
                <w:sz w:val="21"/>
              </w:rPr>
              <w:t>加减分</w:t>
            </w:r>
          </w:p>
        </w:tc>
        <w:tc>
          <w:tcPr>
            <w:tcW w:type="dxa" w:w="668"/>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1083"/>
            <w:vMerge w:val="restart"/>
            <w:tcBorders>
              <w:top w:val="none" w:color="000000" w:sz="4"/>
              <w:left w:val="single" w:color="000000" w:sz="4"/>
              <w:bottom w:val="single" w:color="000000" w:sz="4"/>
              <w:right w:val="single" w:color="000000" w:sz="4"/>
            </w:tcBorders>
            <w:vAlign w:val="top"/>
          </w:tcPr>
          <w:p>
            <w:pPr>
              <w:jc w:val="center"/>
            </w:pPr>
            <w:r>
              <w:rPr>
                <w:b/>
                <w:sz w:val="21"/>
              </w:rPr>
              <w:t>安全生产</w:t>
            </w:r>
          </w:p>
          <w:p>
            <w:pPr>
              <w:jc w:val="center"/>
            </w:pPr>
            <w:r>
              <w:rPr>
                <w:b/>
                <w:sz w:val="21"/>
              </w:rPr>
              <w:t>（</w:t>
            </w:r>
            <w:r>
              <w:rPr>
                <w:b/>
                <w:sz w:val="21"/>
              </w:rPr>
              <w:t>40分）</w:t>
            </w:r>
          </w:p>
        </w:tc>
        <w:tc>
          <w:tcPr>
            <w:tcW w:type="dxa" w:w="3359"/>
            <w:tcBorders>
              <w:top w:val="none" w:color="000000" w:sz="4"/>
              <w:left w:val="none" w:color="000000" w:sz="4"/>
              <w:bottom w:val="single" w:color="000000" w:sz="4"/>
              <w:right w:val="single" w:color="000000" w:sz="4"/>
            </w:tcBorders>
            <w:vAlign w:val="top"/>
          </w:tcPr>
          <w:p>
            <w:pPr>
              <w:jc w:val="left"/>
            </w:pPr>
            <w:r>
              <w:rPr>
                <w:sz w:val="21"/>
              </w:rPr>
              <w:t>严守食堂安全生产红线，一旦发生重大消防、食品卫生安全或其它重大安全事故，一票否决。</w:t>
            </w:r>
          </w:p>
        </w:tc>
        <w:tc>
          <w:tcPr>
            <w:tcW w:type="dxa" w:w="2474"/>
            <w:gridSpan w:val="2"/>
            <w:tcBorders>
              <w:top w:val="none" w:color="000000" w:sz="4"/>
              <w:left w:val="none" w:color="000000" w:sz="4"/>
              <w:bottom w:val="single" w:color="000000" w:sz="4"/>
              <w:right w:val="single" w:color="000000" w:sz="4"/>
            </w:tcBorders>
            <w:vAlign w:val="top"/>
          </w:tcPr>
          <w:p>
            <w:pPr>
              <w:jc w:val="left"/>
            </w:pPr>
            <w:r>
              <w:rPr>
                <w:sz w:val="21"/>
              </w:rPr>
              <w:t>1、</w:t>
            </w:r>
            <w:r>
              <w:rPr>
                <w:sz w:val="21"/>
              </w:rPr>
              <w:t>发生重大消防、食品卫生安全或其它重大安全责任事故，采购人有权扣罚中标供应商全部未结费用、单方解除合同，并依法追究其经济、法律责任。</w:t>
            </w:r>
          </w:p>
          <w:p>
            <w:pPr>
              <w:jc w:val="left"/>
            </w:pPr>
            <w:r>
              <w:rPr>
                <w:sz w:val="21"/>
              </w:rPr>
              <w:t>2、发生一般意外事故或食品卫生等不良事件，未造成严重后果的，根据情节轻重每次扣5-20分。</w:t>
            </w:r>
          </w:p>
        </w:tc>
        <w:tc>
          <w:tcPr>
            <w:tcW w:type="dxa" w:w="723"/>
            <w:tcBorders>
              <w:top w:val="none" w:color="000000" w:sz="4"/>
              <w:left w:val="none" w:color="000000" w:sz="4"/>
              <w:bottom w:val="single" w:color="000000" w:sz="4"/>
              <w:right w:val="single" w:color="000000" w:sz="4"/>
            </w:tcBorders>
            <w:vAlign w:val="top"/>
          </w:tcPr>
          <w:p>
            <w:pPr>
              <w:jc w:val="left"/>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vMerge/>
            <w:tcBorders>
              <w:top w:val="none" w:color="000000" w:sz="4"/>
              <w:left w:val="single" w:color="000000" w:sz="4"/>
              <w:bottom w:val="single" w:color="000000" w:sz="4"/>
              <w:right w:val="single" w:color="000000" w:sz="4"/>
            </w:tcBorders>
          </w:tcPr>
          <w:p/>
        </w:tc>
        <w:tc>
          <w:tcPr>
            <w:tcW w:type="dxa" w:w="3359"/>
            <w:tcBorders>
              <w:top w:val="none" w:color="000000" w:sz="4"/>
              <w:left w:val="none" w:color="000000" w:sz="4"/>
              <w:bottom w:val="single" w:color="000000" w:sz="4"/>
              <w:right w:val="single" w:color="000000" w:sz="4"/>
            </w:tcBorders>
            <w:vAlign w:val="top"/>
          </w:tcPr>
          <w:p>
            <w:pPr>
              <w:jc w:val="both"/>
            </w:pPr>
            <w:r>
              <w:rPr>
                <w:b/>
                <w:sz w:val="21"/>
              </w:rPr>
              <w:t>1、</w:t>
            </w:r>
            <w:r>
              <w:rPr>
                <w:sz w:val="21"/>
              </w:rPr>
              <w:t>检查无违规用电、用气或明火作业无人看守等违章操作行为；</w:t>
            </w:r>
          </w:p>
          <w:p>
            <w:pPr>
              <w:jc w:val="both"/>
            </w:pPr>
            <w:r>
              <w:rPr>
                <w:b/>
                <w:sz w:val="21"/>
              </w:rPr>
              <w:t>2</w:t>
            </w:r>
            <w:r>
              <w:rPr>
                <w:sz w:val="21"/>
              </w:rPr>
              <w:t>、消防应急类器材配置维护正常，有日常安全自查维护记录；</w:t>
            </w:r>
          </w:p>
          <w:p>
            <w:pPr>
              <w:jc w:val="both"/>
            </w:pPr>
            <w:r>
              <w:rPr>
                <w:b/>
                <w:sz w:val="21"/>
              </w:rPr>
              <w:t>3、</w:t>
            </w:r>
            <w:r>
              <w:rPr>
                <w:sz w:val="21"/>
              </w:rPr>
              <w:t>食堂环境及设施无显著安全隐患。</w:t>
            </w:r>
          </w:p>
        </w:tc>
        <w:tc>
          <w:tcPr>
            <w:tcW w:type="dxa" w:w="2474"/>
            <w:gridSpan w:val="2"/>
            <w:tcBorders>
              <w:top w:val="none" w:color="000000" w:sz="4"/>
              <w:left w:val="none" w:color="000000" w:sz="4"/>
              <w:bottom w:val="single" w:color="000000" w:sz="4"/>
              <w:right w:val="single" w:color="000000" w:sz="4"/>
            </w:tcBorders>
            <w:vAlign w:val="top"/>
          </w:tcPr>
          <w:p>
            <w:pPr>
              <w:jc w:val="center"/>
            </w:pPr>
            <w:r>
              <w:rPr>
                <w:sz w:val="21"/>
              </w:rPr>
              <w:t>存在安全隐患每项扣</w:t>
            </w:r>
            <w:r>
              <w:rPr>
                <w:sz w:val="21"/>
              </w:rPr>
              <w:t>3分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vMerge/>
            <w:tcBorders>
              <w:top w:val="none" w:color="000000" w:sz="4"/>
              <w:left w:val="single" w:color="000000" w:sz="4"/>
              <w:bottom w:val="single" w:color="000000" w:sz="4"/>
              <w:right w:val="single" w:color="000000" w:sz="4"/>
            </w:tcBorders>
          </w:tcPr>
          <w:p/>
        </w:tc>
        <w:tc>
          <w:tcPr>
            <w:tcW w:type="dxa" w:w="3359"/>
            <w:tcBorders>
              <w:top w:val="none" w:color="000000" w:sz="4"/>
              <w:left w:val="none" w:color="000000" w:sz="4"/>
              <w:bottom w:val="single" w:color="000000" w:sz="4"/>
              <w:right w:val="single" w:color="000000" w:sz="4"/>
            </w:tcBorders>
            <w:vAlign w:val="top"/>
          </w:tcPr>
          <w:p>
            <w:pPr>
              <w:jc w:val="both"/>
            </w:pPr>
            <w:r>
              <w:rPr>
                <w:b/>
                <w:sz w:val="21"/>
              </w:rPr>
              <w:t>1、</w:t>
            </w:r>
            <w:r>
              <w:rPr>
                <w:sz w:val="21"/>
              </w:rPr>
              <w:t>检查无入库或使用腐烂变质、外包装破损、过期等食材；</w:t>
            </w:r>
          </w:p>
          <w:p>
            <w:pPr>
              <w:jc w:val="both"/>
            </w:pPr>
            <w:r>
              <w:rPr>
                <w:b/>
                <w:sz w:val="21"/>
              </w:rPr>
              <w:t>2、</w:t>
            </w:r>
            <w:r>
              <w:rPr>
                <w:sz w:val="21"/>
              </w:rPr>
              <w:t>无违反食品安全管理规定的操作行为；</w:t>
            </w:r>
          </w:p>
          <w:p>
            <w:pPr>
              <w:jc w:val="both"/>
            </w:pPr>
            <w:r>
              <w:rPr>
                <w:b/>
                <w:sz w:val="21"/>
              </w:rPr>
              <w:t>3、</w:t>
            </w:r>
            <w:r>
              <w:rPr>
                <w:sz w:val="21"/>
              </w:rPr>
              <w:t>无发生因食物变质、杂物污染、员工不洁或危险操作导致的有效投诉。</w:t>
            </w:r>
          </w:p>
        </w:tc>
        <w:tc>
          <w:tcPr>
            <w:tcW w:type="dxa" w:w="2474"/>
            <w:gridSpan w:val="2"/>
            <w:tcBorders>
              <w:top w:val="none" w:color="000000" w:sz="4"/>
              <w:left w:val="none" w:color="000000" w:sz="4"/>
              <w:bottom w:val="single" w:color="000000" w:sz="4"/>
              <w:right w:val="single" w:color="000000" w:sz="4"/>
            </w:tcBorders>
            <w:vAlign w:val="top"/>
          </w:tcPr>
          <w:p>
            <w:pPr>
              <w:jc w:val="center"/>
            </w:pPr>
            <w:r>
              <w:rPr>
                <w:sz w:val="21"/>
              </w:rPr>
              <w:t>存在食品安全隐患每项扣</w:t>
            </w:r>
            <w:r>
              <w:rPr>
                <w:sz w:val="21"/>
              </w:rPr>
              <w:t>3分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vMerge/>
            <w:tcBorders>
              <w:top w:val="none" w:color="000000" w:sz="4"/>
              <w:left w:val="single" w:color="000000" w:sz="4"/>
              <w:bottom w:val="single" w:color="000000" w:sz="4"/>
              <w:right w:val="single" w:color="000000" w:sz="4"/>
            </w:tcBorders>
          </w:tcPr>
          <w:p/>
        </w:tc>
        <w:tc>
          <w:tcPr>
            <w:tcW w:type="dxa" w:w="3359"/>
            <w:tcBorders>
              <w:top w:val="none" w:color="000000" w:sz="4"/>
              <w:left w:val="none" w:color="000000" w:sz="4"/>
              <w:bottom w:val="single" w:color="000000" w:sz="4"/>
              <w:right w:val="single" w:color="000000" w:sz="4"/>
            </w:tcBorders>
            <w:vAlign w:val="top"/>
          </w:tcPr>
          <w:p>
            <w:pPr>
              <w:jc w:val="both"/>
            </w:pPr>
            <w:r>
              <w:rPr>
                <w:sz w:val="21"/>
              </w:rPr>
              <w:t>无因为食堂地面湿滑、设施破损等导致不良后果的事件或有效投诉。</w:t>
            </w:r>
          </w:p>
        </w:tc>
        <w:tc>
          <w:tcPr>
            <w:tcW w:type="dxa" w:w="2474"/>
            <w:gridSpan w:val="2"/>
            <w:tcBorders>
              <w:top w:val="none" w:color="000000" w:sz="4"/>
              <w:left w:val="none" w:color="000000" w:sz="4"/>
              <w:bottom w:val="single" w:color="000000" w:sz="4"/>
              <w:right w:val="single" w:color="000000" w:sz="4"/>
            </w:tcBorders>
            <w:vAlign w:val="top"/>
          </w:tcPr>
          <w:p>
            <w:pPr>
              <w:jc w:val="center"/>
            </w:pPr>
            <w:r>
              <w:rPr>
                <w:sz w:val="21"/>
              </w:rPr>
              <w:t>存在安全保障类投诉每项扣</w:t>
            </w:r>
            <w:r>
              <w:rPr>
                <w:sz w:val="21"/>
              </w:rPr>
              <w:t>3分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vMerge w:val="restart"/>
            <w:tcBorders>
              <w:top w:val="none" w:color="000000" w:sz="4"/>
              <w:left w:val="single" w:color="000000" w:sz="4"/>
              <w:bottom w:val="single" w:color="000000" w:sz="4"/>
              <w:right w:val="single" w:color="000000" w:sz="4"/>
            </w:tcBorders>
            <w:vAlign w:val="top"/>
          </w:tcPr>
          <w:p>
            <w:pPr>
              <w:jc w:val="center"/>
            </w:pPr>
            <w:r>
              <w:rPr>
                <w:b/>
                <w:sz w:val="21"/>
              </w:rPr>
              <w:t>规范服务</w:t>
            </w:r>
          </w:p>
          <w:p>
            <w:pPr>
              <w:jc w:val="center"/>
            </w:pPr>
            <w:r>
              <w:rPr>
                <w:b/>
                <w:sz w:val="21"/>
              </w:rPr>
              <w:t>（</w:t>
            </w:r>
            <w:r>
              <w:rPr>
                <w:b/>
                <w:sz w:val="21"/>
              </w:rPr>
              <w:t>30分）</w:t>
            </w:r>
          </w:p>
        </w:tc>
        <w:tc>
          <w:tcPr>
            <w:tcW w:type="dxa" w:w="3359"/>
            <w:tcBorders>
              <w:top w:val="none" w:color="000000" w:sz="4"/>
              <w:left w:val="none" w:color="000000" w:sz="4"/>
              <w:bottom w:val="single" w:color="000000" w:sz="4"/>
              <w:right w:val="single" w:color="000000" w:sz="4"/>
            </w:tcBorders>
            <w:vAlign w:val="top"/>
          </w:tcPr>
          <w:p>
            <w:pPr>
              <w:jc w:val="left"/>
            </w:pPr>
            <w:r>
              <w:rPr>
                <w:b/>
                <w:sz w:val="21"/>
              </w:rPr>
              <w:t>1、</w:t>
            </w:r>
            <w:r>
              <w:rPr>
                <w:sz w:val="21"/>
              </w:rPr>
              <w:t>严格按合同约定时间、品类及标准供餐；</w:t>
            </w:r>
          </w:p>
          <w:p>
            <w:pPr>
              <w:jc w:val="left"/>
            </w:pPr>
            <w:r>
              <w:rPr>
                <w:b/>
                <w:sz w:val="21"/>
              </w:rPr>
              <w:t>2、</w:t>
            </w:r>
            <w:r>
              <w:rPr>
                <w:sz w:val="21"/>
              </w:rPr>
              <w:t>菜谱每周更新，品类齐全，口味、形式多样，出品无不熟、焦糊、过咸过淡等瑕疵；</w:t>
            </w:r>
          </w:p>
          <w:p>
            <w:pPr>
              <w:jc w:val="left"/>
            </w:pPr>
            <w:r>
              <w:rPr>
                <w:b/>
                <w:sz w:val="21"/>
              </w:rPr>
              <w:t>3、</w:t>
            </w:r>
            <w:r>
              <w:rPr>
                <w:sz w:val="21"/>
              </w:rPr>
              <w:t>每月新出菜品</w:t>
            </w:r>
            <w:r>
              <w:rPr>
                <w:sz w:val="21"/>
              </w:rPr>
              <w:t>≥6款；</w:t>
            </w:r>
          </w:p>
          <w:p>
            <w:pPr>
              <w:jc w:val="left"/>
            </w:pPr>
            <w:r>
              <w:rPr>
                <w:b/>
                <w:sz w:val="21"/>
              </w:rPr>
              <w:t>4、</w:t>
            </w:r>
            <w:r>
              <w:rPr>
                <w:sz w:val="21"/>
              </w:rPr>
              <w:t>供餐服务、保温、特殊饮食配制、围餐、应急供餐等餐务服务合规，有效服务投诉</w:t>
            </w:r>
            <w:r>
              <w:rPr>
                <w:sz w:val="21"/>
              </w:rPr>
              <w:t>≤1次。</w:t>
            </w:r>
          </w:p>
        </w:tc>
        <w:tc>
          <w:tcPr>
            <w:tcW w:type="dxa" w:w="2474"/>
            <w:gridSpan w:val="2"/>
            <w:tcBorders>
              <w:top w:val="none" w:color="000000" w:sz="4"/>
              <w:left w:val="non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vMerge/>
            <w:tcBorders>
              <w:top w:val="none" w:color="000000" w:sz="4"/>
              <w:left w:val="single" w:color="000000" w:sz="4"/>
              <w:bottom w:val="single" w:color="000000" w:sz="4"/>
              <w:right w:val="single" w:color="000000" w:sz="4"/>
            </w:tcBorders>
          </w:tcPr>
          <w:p/>
        </w:tc>
        <w:tc>
          <w:tcPr>
            <w:tcW w:type="dxa" w:w="3359"/>
            <w:tcBorders>
              <w:top w:val="none" w:color="000000" w:sz="4"/>
              <w:left w:val="none" w:color="000000" w:sz="4"/>
              <w:bottom w:val="single" w:color="000000" w:sz="4"/>
              <w:right w:val="single" w:color="000000" w:sz="4"/>
            </w:tcBorders>
            <w:vAlign w:val="top"/>
          </w:tcPr>
          <w:p>
            <w:pPr>
              <w:jc w:val="both"/>
            </w:pPr>
            <w:r>
              <w:rPr>
                <w:b/>
                <w:sz w:val="21"/>
              </w:rPr>
              <w:t>1、</w:t>
            </w:r>
            <w:r>
              <w:rPr>
                <w:sz w:val="21"/>
              </w:rPr>
              <w:t>在岗人员持有效健康证上岗，人数、年龄和资质符合合同约定标准，无违规聘用不合格人员；</w:t>
            </w:r>
          </w:p>
          <w:p>
            <w:pPr>
              <w:jc w:val="both"/>
            </w:pPr>
            <w:r>
              <w:rPr>
                <w:b/>
                <w:sz w:val="21"/>
              </w:rPr>
              <w:t>2、</w:t>
            </w:r>
            <w:r>
              <w:rPr>
                <w:sz w:val="21"/>
              </w:rPr>
              <w:t>全员规范佩戴工作帽、口罩、手套（窗口岗位）作业，无蓄长发、长指甲、戴戒指、假指甲等；</w:t>
            </w:r>
          </w:p>
          <w:p>
            <w:pPr>
              <w:jc w:val="both"/>
            </w:pPr>
            <w:r>
              <w:rPr>
                <w:b/>
                <w:sz w:val="21"/>
              </w:rPr>
              <w:t>3、</w:t>
            </w:r>
            <w:r>
              <w:rPr>
                <w:sz w:val="21"/>
              </w:rPr>
              <w:t>无迟到早退、擅自离岗脱岗及其它违规违纪行为。</w:t>
            </w:r>
          </w:p>
        </w:tc>
        <w:tc>
          <w:tcPr>
            <w:tcW w:type="dxa" w:w="2474"/>
            <w:gridSpan w:val="2"/>
            <w:tcBorders>
              <w:top w:val="none" w:color="000000" w:sz="4"/>
              <w:left w:val="non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p>
            <w:pPr>
              <w:jc w:val="both"/>
            </w:pPr>
          </w:p>
          <w:p>
            <w:pPr>
              <w:jc w:val="both"/>
            </w:pPr>
          </w:p>
        </w:tc>
      </w:tr>
      <w:tr>
        <w:tc>
          <w:tcPr>
            <w:tcW w:type="dxa" w:w="1083"/>
            <w:vMerge/>
            <w:tcBorders>
              <w:top w:val="none" w:color="000000" w:sz="4"/>
              <w:left w:val="single" w:color="000000" w:sz="4"/>
              <w:bottom w:val="single" w:color="000000" w:sz="4"/>
              <w:right w:val="single" w:color="000000" w:sz="4"/>
            </w:tcBorders>
          </w:tcPr>
          <w:p/>
        </w:tc>
        <w:tc>
          <w:tcPr>
            <w:tcW w:type="dxa" w:w="3359"/>
            <w:tcBorders>
              <w:top w:val="none" w:color="000000" w:sz="4"/>
              <w:left w:val="none" w:color="000000" w:sz="4"/>
              <w:bottom w:val="single" w:color="000000" w:sz="4"/>
              <w:right w:val="single" w:color="000000" w:sz="4"/>
            </w:tcBorders>
            <w:vAlign w:val="top"/>
          </w:tcPr>
          <w:p>
            <w:pPr>
              <w:jc w:val="both"/>
            </w:pPr>
            <w:r>
              <w:rPr>
                <w:b/>
                <w:sz w:val="21"/>
              </w:rPr>
              <w:t>1、</w:t>
            </w:r>
            <w:r>
              <w:rPr>
                <w:sz w:val="21"/>
              </w:rPr>
              <w:t>食堂各功能区标识、规章和餐厅服务指引、装饰宣教品张贴完善规范；</w:t>
            </w:r>
          </w:p>
          <w:p>
            <w:pPr>
              <w:jc w:val="both"/>
            </w:pPr>
            <w:r>
              <w:rPr>
                <w:b/>
                <w:sz w:val="21"/>
              </w:rPr>
              <w:t>2、</w:t>
            </w:r>
            <w:r>
              <w:rPr>
                <w:sz w:val="21"/>
              </w:rPr>
              <w:t>环境清洁，工具摆放整齐有序，无显著积垢、油污、虫迹鼠迹；</w:t>
            </w:r>
          </w:p>
          <w:p>
            <w:pPr>
              <w:jc w:val="both"/>
            </w:pPr>
            <w:r>
              <w:rPr>
                <w:b/>
                <w:sz w:val="21"/>
              </w:rPr>
              <w:t>3、</w:t>
            </w:r>
            <w:r>
              <w:rPr>
                <w:sz w:val="21"/>
              </w:rPr>
              <w:t>按需配置灭蚊灯、防虫网罩、洗洁用品；</w:t>
            </w:r>
          </w:p>
          <w:p>
            <w:pPr>
              <w:jc w:val="both"/>
            </w:pPr>
            <w:r>
              <w:rPr>
                <w:b/>
                <w:sz w:val="21"/>
              </w:rPr>
              <w:t>4、</w:t>
            </w:r>
            <w:r>
              <w:rPr>
                <w:sz w:val="21"/>
              </w:rPr>
              <w:t>排污管井</w:t>
            </w:r>
            <w:r>
              <w:rPr>
                <w:sz w:val="21"/>
              </w:rPr>
              <w:t>按需</w:t>
            </w:r>
            <w:r>
              <w:rPr>
                <w:sz w:val="21"/>
              </w:rPr>
              <w:t>清理、保持清洁、通畅。</w:t>
            </w:r>
          </w:p>
        </w:tc>
        <w:tc>
          <w:tcPr>
            <w:tcW w:type="dxa" w:w="2474"/>
            <w:gridSpan w:val="2"/>
            <w:tcBorders>
              <w:top w:val="none" w:color="000000" w:sz="4"/>
              <w:left w:val="non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723"/>
            <w:tcBorders>
              <w:top w:val="none" w:color="000000" w:sz="4"/>
              <w:left w:val="none" w:color="000000" w:sz="4"/>
              <w:bottom w:val="single" w:color="000000" w:sz="4"/>
              <w:right w:val="single" w:color="000000" w:sz="4"/>
            </w:tcBorders>
            <w:vAlign w:val="top"/>
          </w:tcPr>
          <w:p>
            <w:pPr>
              <w:jc w:val="both"/>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vMerge/>
            <w:tcBorders>
              <w:top w:val="none" w:color="000000" w:sz="4"/>
              <w:left w:val="single" w:color="000000" w:sz="4"/>
              <w:bottom w:val="single" w:color="000000" w:sz="4"/>
              <w:right w:val="single" w:color="000000" w:sz="4"/>
            </w:tcBorders>
          </w:tcPr>
          <w:p/>
        </w:tc>
        <w:tc>
          <w:tcPr>
            <w:tcW w:type="dxa" w:w="3359"/>
            <w:tcBorders>
              <w:top w:val="none" w:color="000000" w:sz="4"/>
              <w:left w:val="none" w:color="000000" w:sz="4"/>
              <w:bottom w:val="single" w:color="000000" w:sz="4"/>
              <w:right w:val="single" w:color="000000" w:sz="4"/>
            </w:tcBorders>
            <w:vAlign w:val="top"/>
          </w:tcPr>
          <w:p>
            <w:pPr>
              <w:jc w:val="both"/>
            </w:pPr>
            <w:r>
              <w:rPr>
                <w:b/>
                <w:sz w:val="21"/>
              </w:rPr>
              <w:t>1、</w:t>
            </w:r>
            <w:r>
              <w:rPr>
                <w:sz w:val="21"/>
              </w:rPr>
              <w:t>餐具洗消严格按食安规范程序操作，消毒抽检合格率</w:t>
            </w:r>
            <w:r>
              <w:rPr>
                <w:sz w:val="21"/>
              </w:rPr>
              <w:t>100%（依据日常检测记录）；</w:t>
            </w:r>
          </w:p>
          <w:p>
            <w:pPr>
              <w:jc w:val="both"/>
            </w:pPr>
            <w:r>
              <w:rPr>
                <w:b/>
                <w:sz w:val="21"/>
              </w:rPr>
              <w:t>2、</w:t>
            </w:r>
            <w:r>
              <w:rPr>
                <w:sz w:val="21"/>
              </w:rPr>
              <w:t>食物储存规范，生熟分开，标示清晰；</w:t>
            </w:r>
          </w:p>
          <w:p>
            <w:pPr>
              <w:jc w:val="both"/>
            </w:pPr>
            <w:r>
              <w:rPr>
                <w:b/>
                <w:sz w:val="21"/>
              </w:rPr>
              <w:t>3、</w:t>
            </w:r>
            <w:r>
              <w:rPr>
                <w:sz w:val="21"/>
              </w:rPr>
              <w:t>清洗加工后的食材洁净无杂物；</w:t>
            </w:r>
          </w:p>
          <w:p>
            <w:pPr>
              <w:jc w:val="both"/>
            </w:pPr>
            <w:r>
              <w:rPr>
                <w:b/>
                <w:sz w:val="21"/>
              </w:rPr>
              <w:t>4、</w:t>
            </w:r>
            <w:r>
              <w:rPr>
                <w:sz w:val="21"/>
              </w:rPr>
              <w:t>餐具回收及厨余垃圾存放标示清晰，设施洁净，无污物、异味溢出。</w:t>
            </w:r>
          </w:p>
        </w:tc>
        <w:tc>
          <w:tcPr>
            <w:tcW w:type="dxa" w:w="2474"/>
            <w:gridSpan w:val="2"/>
            <w:tcBorders>
              <w:top w:val="none" w:color="000000" w:sz="4"/>
              <w:left w:val="non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vMerge/>
            <w:tcBorders>
              <w:top w:val="none" w:color="000000" w:sz="4"/>
              <w:left w:val="single" w:color="000000" w:sz="4"/>
              <w:bottom w:val="single" w:color="000000" w:sz="4"/>
              <w:right w:val="single" w:color="000000" w:sz="4"/>
            </w:tcBorders>
          </w:tcPr>
          <w:p/>
        </w:tc>
        <w:tc>
          <w:tcPr>
            <w:tcW w:type="dxa" w:w="3359"/>
            <w:tcBorders>
              <w:top w:val="none" w:color="000000" w:sz="4"/>
              <w:left w:val="none" w:color="000000" w:sz="4"/>
              <w:bottom w:val="single" w:color="000000" w:sz="4"/>
              <w:right w:val="single" w:color="000000" w:sz="4"/>
            </w:tcBorders>
            <w:vAlign w:val="top"/>
          </w:tcPr>
          <w:p>
            <w:pPr>
              <w:jc w:val="both"/>
            </w:pPr>
            <w:r>
              <w:rPr>
                <w:b/>
                <w:sz w:val="21"/>
              </w:rPr>
              <w:t>1、</w:t>
            </w:r>
            <w:r>
              <w:rPr>
                <w:sz w:val="21"/>
              </w:rPr>
              <w:t>验收包装食材有合法生产许可证、生产单位、地址、生产日期等，生鲜食材有检疫合格证；</w:t>
            </w:r>
          </w:p>
          <w:p>
            <w:pPr>
              <w:jc w:val="both"/>
            </w:pPr>
            <w:r>
              <w:rPr>
                <w:b/>
                <w:sz w:val="21"/>
              </w:rPr>
              <w:t>2、</w:t>
            </w:r>
            <w:r>
              <w:rPr>
                <w:sz w:val="21"/>
              </w:rPr>
              <w:t>存储食材均在保质期内；</w:t>
            </w:r>
          </w:p>
          <w:p>
            <w:pPr>
              <w:jc w:val="both"/>
            </w:pPr>
            <w:r>
              <w:rPr>
                <w:b/>
                <w:sz w:val="21"/>
              </w:rPr>
              <w:t>3、</w:t>
            </w:r>
            <w:r>
              <w:rPr>
                <w:sz w:val="21"/>
              </w:rPr>
              <w:t>库存食材存放有防潮措施，无虫害、变质；</w:t>
            </w:r>
          </w:p>
          <w:p>
            <w:pPr>
              <w:jc w:val="both"/>
            </w:pPr>
            <w:r>
              <w:rPr>
                <w:b/>
                <w:sz w:val="21"/>
              </w:rPr>
              <w:t>4、</w:t>
            </w:r>
            <w:r>
              <w:rPr>
                <w:sz w:val="21"/>
              </w:rPr>
              <w:t>有规范的品类标识；</w:t>
            </w:r>
          </w:p>
          <w:p>
            <w:pPr>
              <w:jc w:val="both"/>
            </w:pPr>
            <w:r>
              <w:rPr>
                <w:b/>
                <w:sz w:val="21"/>
              </w:rPr>
              <w:t>5、</w:t>
            </w:r>
            <w:r>
              <w:rPr>
                <w:sz w:val="21"/>
              </w:rPr>
              <w:t>仓库台账完善。</w:t>
            </w:r>
          </w:p>
        </w:tc>
        <w:tc>
          <w:tcPr>
            <w:tcW w:type="dxa" w:w="2474"/>
            <w:gridSpan w:val="2"/>
            <w:tcBorders>
              <w:top w:val="none" w:color="000000" w:sz="4"/>
              <w:left w:val="none" w:color="000000" w:sz="4"/>
              <w:bottom w:val="single" w:color="000000" w:sz="4"/>
              <w:right w:val="single" w:color="000000" w:sz="4"/>
            </w:tcBorders>
            <w:vAlign w:val="top"/>
          </w:tcPr>
          <w:p>
            <w:pPr>
              <w:jc w:val="center"/>
            </w:pPr>
            <w:r>
              <w:rPr>
                <w:sz w:val="21"/>
              </w:rPr>
              <w:t>发现不合规项每项扣</w:t>
            </w:r>
            <w:r>
              <w:rPr>
                <w:sz w:val="21"/>
              </w:rPr>
              <w:t>2分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vMerge/>
            <w:tcBorders>
              <w:top w:val="none" w:color="000000" w:sz="4"/>
              <w:left w:val="single" w:color="000000" w:sz="4"/>
              <w:bottom w:val="single" w:color="000000" w:sz="4"/>
              <w:right w:val="single" w:color="000000" w:sz="4"/>
            </w:tcBorders>
          </w:tcPr>
          <w:p/>
        </w:tc>
        <w:tc>
          <w:tcPr>
            <w:tcW w:type="dxa" w:w="3359"/>
            <w:tcBorders>
              <w:top w:val="none" w:color="000000" w:sz="4"/>
              <w:left w:val="none" w:color="000000" w:sz="4"/>
              <w:bottom w:val="single" w:color="000000" w:sz="4"/>
              <w:right w:val="single" w:color="000000" w:sz="4"/>
            </w:tcBorders>
            <w:vAlign w:val="top"/>
          </w:tcPr>
          <w:p>
            <w:pPr>
              <w:jc w:val="both"/>
            </w:pPr>
            <w:r>
              <w:rPr>
                <w:b/>
                <w:sz w:val="21"/>
              </w:rPr>
              <w:t>1</w:t>
            </w:r>
            <w:r>
              <w:rPr>
                <w:sz w:val="21"/>
              </w:rPr>
              <w:t>、根据甲方三甲评审要求完成各类检查、记录和培训演练，以及工作记录、总结、报告等文档建档完善工作；</w:t>
            </w:r>
          </w:p>
          <w:p>
            <w:pPr>
              <w:jc w:val="both"/>
            </w:pPr>
            <w:r>
              <w:rPr>
                <w:b/>
                <w:sz w:val="21"/>
              </w:rPr>
              <w:t>2、</w:t>
            </w:r>
            <w:r>
              <w:rPr>
                <w:sz w:val="21"/>
              </w:rPr>
              <w:t>食堂人员能按要求熟练掌握和回答食品卫生、安全操作、应急处置相关知识。</w:t>
            </w:r>
          </w:p>
        </w:tc>
        <w:tc>
          <w:tcPr>
            <w:tcW w:type="dxa" w:w="2474"/>
            <w:gridSpan w:val="2"/>
            <w:tcBorders>
              <w:top w:val="none" w:color="000000" w:sz="4"/>
              <w:left w:val="none" w:color="000000" w:sz="4"/>
              <w:bottom w:val="single" w:color="000000" w:sz="4"/>
              <w:right w:val="single" w:color="000000" w:sz="4"/>
            </w:tcBorders>
            <w:vAlign w:val="top"/>
          </w:tcPr>
          <w:p>
            <w:pPr>
              <w:jc w:val="both"/>
            </w:pPr>
            <w:r>
              <w:rPr>
                <w:sz w:val="21"/>
              </w:rPr>
              <w:t>日常检查不合规项每项扣</w:t>
            </w:r>
            <w:r>
              <w:rPr>
                <w:sz w:val="21"/>
              </w:rPr>
              <w:t>2分， 评审期内不合规项每项扣10分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tcBorders>
              <w:top w:val="none" w:color="000000" w:sz="4"/>
              <w:left w:val="single" w:color="000000" w:sz="4"/>
              <w:bottom w:val="single" w:color="000000" w:sz="4"/>
              <w:right w:val="single" w:color="000000" w:sz="4"/>
            </w:tcBorders>
            <w:vAlign w:val="top"/>
          </w:tcPr>
          <w:p>
            <w:pPr>
              <w:jc w:val="center"/>
            </w:pPr>
            <w:r>
              <w:rPr>
                <w:b/>
                <w:sz w:val="21"/>
              </w:rPr>
              <w:t>服务满意度（</w:t>
            </w:r>
            <w:r>
              <w:rPr>
                <w:b/>
                <w:sz w:val="21"/>
              </w:rPr>
              <w:t>30分）</w:t>
            </w:r>
          </w:p>
        </w:tc>
        <w:tc>
          <w:tcPr>
            <w:tcW w:type="dxa" w:w="3359"/>
            <w:tcBorders>
              <w:top w:val="none" w:color="000000" w:sz="4"/>
              <w:left w:val="none" w:color="000000" w:sz="4"/>
              <w:bottom w:val="single" w:color="000000" w:sz="4"/>
              <w:right w:val="single" w:color="000000" w:sz="4"/>
            </w:tcBorders>
            <w:vAlign w:val="top"/>
          </w:tcPr>
          <w:p>
            <w:pPr>
              <w:jc w:val="both"/>
            </w:pPr>
            <w:r>
              <w:rPr>
                <w:sz w:val="21"/>
              </w:rPr>
              <w:t>月度职工及患者满意度调查均值</w:t>
            </w:r>
            <w:r>
              <w:rPr>
                <w:sz w:val="21"/>
              </w:rPr>
              <w:t>≥80%</w:t>
            </w:r>
          </w:p>
        </w:tc>
        <w:tc>
          <w:tcPr>
            <w:tcW w:type="dxa" w:w="2474"/>
            <w:gridSpan w:val="2"/>
            <w:tcBorders>
              <w:top w:val="none" w:color="000000" w:sz="4"/>
              <w:left w:val="none" w:color="000000" w:sz="4"/>
              <w:bottom w:val="single" w:color="000000" w:sz="4"/>
              <w:right w:val="single" w:color="000000" w:sz="4"/>
            </w:tcBorders>
            <w:vAlign w:val="top"/>
          </w:tcPr>
          <w:p>
            <w:pPr>
              <w:jc w:val="both"/>
            </w:pPr>
            <w:r>
              <w:rPr>
                <w:sz w:val="21"/>
              </w:rPr>
              <w:t>满意度低于</w:t>
            </w:r>
            <w:r>
              <w:rPr>
                <w:sz w:val="21"/>
              </w:rPr>
              <w:t>80%（不含）扣10分，低于70%扣20分，低于60%扣30分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1083"/>
            <w:tcBorders>
              <w:top w:val="none" w:color="000000" w:sz="4"/>
              <w:left w:val="single" w:color="000000" w:sz="4"/>
              <w:bottom w:val="single" w:color="000000" w:sz="4"/>
              <w:right w:val="single" w:color="000000" w:sz="4"/>
            </w:tcBorders>
            <w:vAlign w:val="top"/>
          </w:tcPr>
          <w:p>
            <w:pPr>
              <w:jc w:val="center"/>
            </w:pPr>
            <w:r>
              <w:rPr>
                <w:b/>
                <w:sz w:val="21"/>
              </w:rPr>
              <w:t>加分项</w:t>
            </w:r>
          </w:p>
        </w:tc>
        <w:tc>
          <w:tcPr>
            <w:tcW w:type="dxa" w:w="3359"/>
            <w:tcBorders>
              <w:top w:val="none" w:color="000000" w:sz="4"/>
              <w:left w:val="none" w:color="000000" w:sz="4"/>
              <w:bottom w:val="single" w:color="000000" w:sz="4"/>
              <w:right w:val="single" w:color="000000" w:sz="4"/>
            </w:tcBorders>
            <w:vAlign w:val="top"/>
          </w:tcPr>
          <w:p>
            <w:pPr>
              <w:numPr>
                <w:ilvl w:val="0"/>
                <w:numId w:val="1"/>
              </w:numPr>
              <w:jc w:val="both"/>
            </w:pPr>
            <w:r>
              <w:rPr>
                <w:sz w:val="21"/>
              </w:rPr>
              <w:t>经甲方监管部门核实，本单位职工、患者对食堂服务突出的优秀事迹予以表彰。</w:t>
            </w:r>
          </w:p>
          <w:p>
            <w:pPr>
              <w:jc w:val="both"/>
            </w:pPr>
            <w:r>
              <w:rPr>
                <w:sz w:val="21"/>
              </w:rPr>
              <w:t>2、</w:t>
            </w:r>
            <w:r>
              <w:rPr>
                <w:sz w:val="21"/>
              </w:rPr>
              <w:t>服务满意度均值</w:t>
            </w:r>
            <w:r>
              <w:rPr>
                <w:sz w:val="21"/>
              </w:rPr>
              <w:t>&gt;90%。</w:t>
            </w:r>
          </w:p>
        </w:tc>
        <w:tc>
          <w:tcPr>
            <w:tcW w:type="dxa" w:w="2474"/>
            <w:gridSpan w:val="2"/>
            <w:tcBorders>
              <w:top w:val="none" w:color="000000" w:sz="4"/>
              <w:left w:val="none" w:color="000000" w:sz="4"/>
              <w:bottom w:val="single" w:color="000000" w:sz="4"/>
              <w:right w:val="single" w:color="000000" w:sz="4"/>
            </w:tcBorders>
            <w:vAlign w:val="top"/>
          </w:tcPr>
          <w:p>
            <w:pPr>
              <w:jc w:val="center"/>
            </w:pPr>
            <w:r>
              <w:rPr>
                <w:sz w:val="21"/>
              </w:rPr>
              <w:t>每项加</w:t>
            </w:r>
            <w:r>
              <w:rPr>
                <w:sz w:val="21"/>
              </w:rPr>
              <w:t>2分</w:t>
            </w:r>
          </w:p>
        </w:tc>
        <w:tc>
          <w:tcPr>
            <w:tcW w:type="dxa" w:w="723"/>
            <w:tcBorders>
              <w:top w:val="none" w:color="000000" w:sz="4"/>
              <w:left w:val="none" w:color="000000" w:sz="4"/>
              <w:bottom w:val="single" w:color="000000" w:sz="4"/>
              <w:right w:val="single" w:color="000000" w:sz="4"/>
            </w:tcBorders>
            <w:vAlign w:val="top"/>
          </w:tcPr>
          <w:p>
            <w:pPr>
              <w:jc w:val="center"/>
            </w:pPr>
          </w:p>
        </w:tc>
        <w:tc>
          <w:tcPr>
            <w:tcW w:type="dxa" w:w="668"/>
            <w:tcBorders>
              <w:top w:val="none" w:color="000000" w:sz="4"/>
              <w:left w:val="none" w:color="000000" w:sz="4"/>
              <w:bottom w:val="single" w:color="000000" w:sz="4"/>
              <w:right w:val="single" w:color="000000" w:sz="4"/>
            </w:tcBorders>
            <w:vAlign w:val="top"/>
          </w:tcPr>
          <w:p>
            <w:pPr>
              <w:jc w:val="center"/>
            </w:pPr>
          </w:p>
        </w:tc>
      </w:tr>
      <w:tr>
        <w:tc>
          <w:tcPr>
            <w:tcW w:type="dxa" w:w="6916"/>
            <w:gridSpan w:val="4"/>
            <w:tcBorders>
              <w:top w:val="none" w:color="000000" w:sz="4"/>
              <w:left w:val="single" w:color="000000" w:sz="4"/>
              <w:bottom w:val="single" w:color="000000" w:sz="4"/>
              <w:right w:val="single" w:color="000000" w:sz="4"/>
            </w:tcBorders>
            <w:vAlign w:val="top"/>
          </w:tcPr>
          <w:p>
            <w:pPr>
              <w:jc w:val="center"/>
            </w:pPr>
            <w:r>
              <w:rPr>
                <w:b/>
                <w:sz w:val="21"/>
              </w:rPr>
              <w:t>当月综合考评得分</w:t>
            </w:r>
          </w:p>
        </w:tc>
        <w:tc>
          <w:tcPr>
            <w:tcW w:type="dxa" w:w="1391"/>
            <w:gridSpan w:val="2"/>
            <w:tcBorders>
              <w:top w:val="none" w:color="000000" w:sz="4"/>
              <w:left w:val="none" w:color="000000" w:sz="4"/>
              <w:bottom w:val="single" w:color="000000" w:sz="4"/>
              <w:right w:val="single" w:color="000000" w:sz="4"/>
            </w:tcBorders>
            <w:vAlign w:val="top"/>
          </w:tcPr>
          <w:p>
            <w:pPr>
              <w:jc w:val="both"/>
            </w:pPr>
          </w:p>
        </w:tc>
      </w:tr>
      <w:tr>
        <w:tc>
          <w:tcPr>
            <w:tcW w:type="dxa" w:w="8307"/>
            <w:gridSpan w:val="6"/>
            <w:tcBorders>
              <w:top w:val="none" w:color="000000" w:sz="4"/>
              <w:left w:val="single" w:color="000000" w:sz="4"/>
              <w:bottom w:val="single" w:color="000000" w:sz="4"/>
              <w:right w:val="single" w:color="000000" w:sz="4"/>
            </w:tcBorders>
            <w:vAlign w:val="top"/>
          </w:tcPr>
          <w:p>
            <w:pPr>
              <w:jc w:val="left"/>
            </w:pPr>
            <w:r>
              <w:rPr>
                <w:sz w:val="21"/>
              </w:rPr>
              <w:t>考核结算标准：乙方月度综合考评结果＜</w:t>
            </w:r>
            <w:r>
              <w:rPr>
                <w:sz w:val="21"/>
              </w:rPr>
              <w:t>75分，采购人除提出警告及由乙方提交整改报告外，考评当月的服务费按当月核定费用*（1-5%） 结算；若当月考评结果＜70分，除提出警告及由乙方提交整改报告外，考评当月服务费按当月核定费用*（1-10%）结算；若当月考评结果＜60分，除提出警告及由乙方提交整改报告外，考评当月服务费按当月核定费用*（1-15%）结算；如月度考评连续两月＜60分，采购人除按约定扣减服务费外，有权单方终止合同，责令乙方限期无条件撤场。</w:t>
            </w:r>
          </w:p>
        </w:tc>
      </w:tr>
      <w:tr>
        <w:tc>
          <w:tcPr>
            <w:tcW w:type="dxa" w:w="5679"/>
            <w:gridSpan w:val="3"/>
            <w:tcBorders>
              <w:top w:val="none" w:color="000000" w:sz="4"/>
              <w:left w:val="single" w:color="000000" w:sz="4"/>
              <w:bottom w:val="single" w:color="000000" w:sz="4"/>
              <w:right w:val="single" w:color="000000" w:sz="4"/>
            </w:tcBorders>
            <w:vAlign w:val="top"/>
          </w:tcPr>
          <w:p>
            <w:pPr>
              <w:jc w:val="both"/>
            </w:pPr>
            <w:r>
              <w:rPr>
                <w:sz w:val="21"/>
              </w:rPr>
              <w:t>甲方签名</w:t>
            </w:r>
          </w:p>
        </w:tc>
        <w:tc>
          <w:tcPr>
            <w:tcW w:type="dxa" w:w="2628"/>
            <w:gridSpan w:val="3"/>
            <w:tcBorders>
              <w:top w:val="single" w:color="000000" w:sz="4"/>
              <w:left w:val="none" w:color="000000" w:sz="4"/>
              <w:bottom w:val="single" w:color="000000" w:sz="4"/>
              <w:right w:val="single" w:color="000000" w:sz="4"/>
            </w:tcBorders>
            <w:vAlign w:val="top"/>
          </w:tcPr>
          <w:p>
            <w:pPr>
              <w:jc w:val="both"/>
            </w:pPr>
            <w:r>
              <w:rPr>
                <w:sz w:val="21"/>
              </w:rPr>
              <w:t>乙方签名</w:t>
            </w:r>
          </w:p>
        </w:tc>
      </w:tr>
    </w:tbl>
    <w:p>
      <w:pPr>
        <w:ind w:firstLine="640"/>
        <w:jc w:val="center"/>
      </w:pPr>
      <w:r>
        <w:rPr>
          <w:sz w:val="32"/>
        </w:rPr>
        <w:t>（以下无正文）</w:t>
      </w:r>
    </w:p>
    <w:p>
      <w:pPr>
        <w:jc w:val="both"/>
      </w:pPr>
    </w:p>
    <w:p>
      <w:pPr>
        <w:jc w:val="both"/>
      </w:pPr>
      <w:r>
        <w:rPr>
          <w:b/>
          <w:sz w:val="28"/>
        </w:rPr>
        <w:t>甲方：</w:t>
      </w:r>
      <w:r>
        <w:rPr>
          <w:b/>
          <w:sz w:val="28"/>
        </w:rPr>
        <w:t>（盖章）</w:t>
      </w:r>
      <w:r>
        <w:rPr>
          <w:b/>
          <w:sz w:val="28"/>
        </w:rPr>
        <w:t xml:space="preserve">                  </w:t>
      </w:r>
      <w:r>
        <w:rPr>
          <w:b/>
          <w:sz w:val="28"/>
        </w:rPr>
        <w:t>乙方：</w:t>
      </w:r>
      <w:r>
        <w:rPr>
          <w:b/>
          <w:sz w:val="28"/>
        </w:rPr>
        <w:t>（盖章）</w:t>
      </w:r>
    </w:p>
    <w:p>
      <w:pPr>
        <w:jc w:val="both"/>
      </w:pPr>
      <w:r>
        <w:rPr>
          <w:b/>
          <w:sz w:val="28"/>
        </w:rPr>
        <w:t>法定代表人：</w:t>
      </w:r>
      <w:r>
        <w:rPr>
          <w:b/>
          <w:sz w:val="28"/>
        </w:rPr>
        <w:t xml:space="preserve">           </w:t>
      </w:r>
      <w:r>
        <w:rPr>
          <w:b/>
          <w:sz w:val="28"/>
        </w:rPr>
        <w:t>法定代表人：</w:t>
      </w:r>
    </w:p>
    <w:p>
      <w:pPr>
        <w:jc w:val="both"/>
      </w:pPr>
      <w:r>
        <w:rPr>
          <w:b/>
          <w:sz w:val="28"/>
        </w:rPr>
        <w:t>签约代表：</w:t>
      </w:r>
      <w:r>
        <w:rPr>
          <w:b/>
          <w:sz w:val="28"/>
        </w:rPr>
        <w:t xml:space="preserve">             </w:t>
      </w:r>
      <w:r>
        <w:rPr>
          <w:b/>
          <w:sz w:val="28"/>
        </w:rPr>
        <w:t>签约代表：</w:t>
      </w:r>
    </w:p>
    <w:p>
      <w:pPr>
        <w:jc w:val="both"/>
      </w:pPr>
      <w:r>
        <w:rPr>
          <w:b/>
          <w:sz w:val="28"/>
        </w:rPr>
        <w:t>开户银行：</w:t>
      </w:r>
      <w:r>
        <w:rPr>
          <w:b/>
          <w:sz w:val="28"/>
        </w:rPr>
        <w:t xml:space="preserve">             </w:t>
      </w:r>
      <w:r>
        <w:rPr>
          <w:b/>
          <w:sz w:val="28"/>
        </w:rPr>
        <w:t>开户银行：</w:t>
      </w:r>
      <w:r>
        <w:rPr>
          <w:b/>
          <w:sz w:val="28"/>
        </w:rPr>
        <w:t xml:space="preserve">                              </w:t>
      </w:r>
    </w:p>
    <w:p>
      <w:pPr>
        <w:jc w:val="both"/>
      </w:pPr>
      <w:r>
        <w:rPr>
          <w:b/>
          <w:sz w:val="28"/>
        </w:rPr>
        <w:t>银行账号：</w:t>
      </w:r>
      <w:r>
        <w:rPr>
          <w:b/>
          <w:sz w:val="28"/>
        </w:rPr>
        <w:t xml:space="preserve">             </w:t>
      </w:r>
      <w:r>
        <w:rPr>
          <w:b/>
          <w:sz w:val="28"/>
        </w:rPr>
        <w:t>银行账号：</w:t>
      </w:r>
    </w:p>
    <w:p>
      <w:pPr>
        <w:jc w:val="both"/>
      </w:pPr>
      <w:r>
        <w:rPr>
          <w:b/>
          <w:sz w:val="28"/>
        </w:rPr>
        <w:t>地址：</w:t>
      </w:r>
      <w:r>
        <w:rPr>
          <w:b/>
          <w:sz w:val="28"/>
        </w:rPr>
        <w:t xml:space="preserve">                 </w:t>
      </w:r>
      <w:r>
        <w:rPr>
          <w:b/>
          <w:sz w:val="28"/>
        </w:rPr>
        <w:t>地址：</w:t>
      </w:r>
    </w:p>
    <w:p>
      <w:pPr>
        <w:jc w:val="both"/>
      </w:pPr>
      <w:r>
        <w:rPr>
          <w:b/>
          <w:sz w:val="28"/>
        </w:rPr>
        <w:t>电话：</w:t>
      </w:r>
      <w:r>
        <w:rPr>
          <w:b/>
          <w:sz w:val="28"/>
        </w:rPr>
        <w:t xml:space="preserve">                 </w:t>
      </w:r>
      <w:r>
        <w:rPr>
          <w:b/>
          <w:sz w:val="28"/>
        </w:rPr>
        <w:t>电话：</w:t>
      </w:r>
    </w:p>
    <w:p>
      <w:pPr>
        <w:jc w:val="both"/>
      </w:pPr>
      <w:r>
        <w:rPr>
          <w:b/>
          <w:sz w:val="28"/>
        </w:rPr>
        <w:t>签约日期：</w:t>
      </w:r>
      <w:r>
        <w:rPr>
          <w:b/>
          <w:sz w:val="28"/>
        </w:rPr>
        <w:t>2024年  月   日        签约日期：2024年  月   日</w:t>
      </w:r>
    </w:p>
    <w:p>
      <w:pPr>
        <w:jc w:val="both"/>
      </w:pPr>
    </w:p>
    <w:p/>
    <w:p/>
    <w:p>
      <w:r>
        <w:rPr/>
        <w:t xml:space="preserve"> </w:t>
      </w:r>
    </w:p>
    <w:p>
      <w:pPr>
        <w:jc w:val="center"/>
      </w:pPr>
      <w:r>
        <w:rPr/>
        <w:t xml:space="preserve"> </w:t>
      </w:r>
    </w:p>
    <w:p>
      <w:pPr>
        <w:jc w:val="center"/>
      </w:pPr>
      <w:r>
        <w:rPr/>
        <w:t xml:space="preserve"> </w:t>
      </w:r>
    </w:p>
    <w:p>
      <w:pPr>
        <w:jc w:val="center"/>
      </w:pPr>
      <w:r>
        <w:rPr>
          <w:b/>
          <w:sz w:val="32"/>
        </w:rPr>
        <w:t>广东省工伤康复中心（医院）招标响应供应商廉洁自律承诺书</w:t>
      </w:r>
    </w:p>
    <w:p>
      <w:pPr>
        <w:jc w:val="center"/>
      </w:pPr>
      <w:r>
        <w:rPr/>
        <w:t xml:space="preserve"> </w:t>
      </w:r>
    </w:p>
    <w:p>
      <w:pPr>
        <w:jc w:val="center"/>
      </w:pPr>
      <w:r>
        <w:rPr/>
        <w:t xml:space="preserve"> </w:t>
      </w:r>
    </w:p>
    <w:p>
      <w:pPr>
        <w:jc w:val="both"/>
      </w:pPr>
      <w:r>
        <w:rPr>
          <w:sz w:val="21"/>
        </w:rPr>
        <w:t>广东省工伤康复中心（医院）：</w:t>
      </w:r>
    </w:p>
    <w:p>
      <w:pPr>
        <w:ind w:firstLine="420"/>
        <w:jc w:val="both"/>
      </w:pPr>
      <w:r>
        <w:rPr>
          <w:sz w:val="21"/>
        </w:rPr>
        <w:t>本公司自愿与广东省工伤康复中心（医院）</w:t>
      </w:r>
      <w:r>
        <w:rPr>
          <w:sz w:val="21"/>
        </w:rPr>
        <w:t>[以下简称“贵中心（医院）”]长久合作，互惠共赢，确保业务往来（包括谈判、招标、签约、履约等）过程中的规范与廉洁，从源头上预防和遏制违法违纪问题的发生，构建公平、公开、公正、透明的商业环境，反对商业贿赂，净化社会风气，特作以下承诺：</w:t>
      </w:r>
    </w:p>
    <w:p>
      <w:pPr>
        <w:ind w:firstLine="420"/>
        <w:jc w:val="both"/>
      </w:pPr>
      <w:r>
        <w:rPr>
          <w:sz w:val="21"/>
        </w:rPr>
        <w:t>一、在业务往来中，严格遵守国家有关的法律法规和廉洁从业规定</w:t>
      </w:r>
      <w:r>
        <w:rPr>
          <w:sz w:val="21"/>
        </w:rPr>
        <w:t>,坚持公平、公开、公正、诚实信用的原则，决不损害国家和贵中心（医院）利益。</w:t>
      </w:r>
    </w:p>
    <w:p>
      <w:pPr>
        <w:ind w:firstLine="420"/>
        <w:jc w:val="both"/>
      </w:pPr>
      <w:r>
        <w:rPr>
          <w:sz w:val="21"/>
        </w:rPr>
        <w:t>二、本公司（含公司工作人员，下同）决不向贵中心（医院）的任何部门、科室、工作人员（含工作人员的配偶、子女及亲属，下同）以各种名义和方式赠送</w:t>
      </w:r>
      <w:r>
        <w:rPr>
          <w:sz w:val="21"/>
        </w:rPr>
        <w:t>“红包”（包括但不限于礼品、礼金、有价证券、支付凭证和商业预付卡等）。</w:t>
      </w:r>
    </w:p>
    <w:p>
      <w:pPr>
        <w:ind w:firstLine="420"/>
        <w:jc w:val="both"/>
      </w:pPr>
      <w:r>
        <w:rPr>
          <w:sz w:val="21"/>
        </w:rPr>
        <w:t>三、本公司决不向贵中心（医院）工作人员提供宴请、联谊活动、度假、旅游，以及到营业性娱乐场所（包括但不限于营业性的歌舞厅、卡拉</w:t>
      </w:r>
      <w:r>
        <w:rPr>
          <w:sz w:val="21"/>
        </w:rPr>
        <w:t>OK 厅、夜总会、桑拿、按摩和高尔夫球等）消费。</w:t>
      </w:r>
    </w:p>
    <w:p>
      <w:pPr>
        <w:ind w:firstLine="420"/>
        <w:jc w:val="both"/>
      </w:pPr>
      <w:r>
        <w:rPr>
          <w:sz w:val="21"/>
        </w:rPr>
        <w:t>四、本公司决不为贵中心（医院）工作人员安排工作，以及支付应由其个人自付的各种费用（包括但不限于住宅装修、婚丧嫁娶、旅游、度假、食宿、购物、学费、子女出国留学等）。</w:t>
      </w:r>
    </w:p>
    <w:p>
      <w:pPr>
        <w:ind w:firstLine="420"/>
        <w:jc w:val="both"/>
      </w:pPr>
      <w:r>
        <w:rPr>
          <w:sz w:val="21"/>
        </w:rPr>
        <w:t>五、本公司如发现贵中心（医院）工作人员有违反本承诺书行为倾向的，将及时提醒纠正并向贵中心（医院）的监督管理部门举报（电话：</w:t>
      </w:r>
      <w:r>
        <w:rPr>
          <w:sz w:val="21"/>
        </w:rPr>
        <w:t>020-66670552）。本公司也会积极配合贵中心（医院）信访调查、检查、调研等工作，及时提供相关资料和客观信息。</w:t>
      </w:r>
    </w:p>
    <w:p>
      <w:pPr>
        <w:ind w:firstLine="420"/>
        <w:jc w:val="both"/>
      </w:pPr>
      <w:r>
        <w:rPr>
          <w:sz w:val="21"/>
        </w:rPr>
        <w:t>六、若违反上述条款，贵中心（医院）有权立即终止与本公司合作，并将本公司列入贵中心（医院）的黑名单，永久取消投标资格或供应商资格。</w:t>
      </w:r>
    </w:p>
    <w:p>
      <w:pPr>
        <w:ind w:firstLine="420"/>
        <w:jc w:val="both"/>
      </w:pPr>
      <w:r>
        <w:rPr>
          <w:sz w:val="21"/>
        </w:rPr>
        <w:t>本承诺书加盖本公司公章并签字后生效。</w:t>
      </w:r>
    </w:p>
    <w:p>
      <w:pPr>
        <w:jc w:val="both"/>
      </w:pPr>
      <w:r>
        <w:rPr>
          <w:sz w:val="21"/>
        </w:rPr>
        <w:t>承诺单位：</w:t>
      </w:r>
    </w:p>
    <w:p>
      <w:pPr>
        <w:jc w:val="both"/>
      </w:pPr>
      <w:r>
        <w:rPr>
          <w:sz w:val="21"/>
        </w:rPr>
        <w:t>（盖公章）</w:t>
      </w:r>
      <w:r>
        <w:rPr>
          <w:sz w:val="21"/>
        </w:rPr>
        <w:t xml:space="preserve">                 </w:t>
      </w:r>
    </w:p>
    <w:p>
      <w:pPr>
        <w:jc w:val="both"/>
      </w:pPr>
      <w:r>
        <w:rPr>
          <w:sz w:val="21"/>
        </w:rPr>
        <w:t>承诺单位法人代表：</w:t>
      </w:r>
    </w:p>
    <w:p>
      <w:pPr>
        <w:jc w:val="both"/>
      </w:pPr>
      <w:r>
        <w:rPr>
          <w:sz w:val="21"/>
        </w:rPr>
        <w:t>（签字）</w:t>
      </w:r>
      <w:r>
        <w:rPr>
          <w:sz w:val="21"/>
        </w:rPr>
        <w:t xml:space="preserve">                                              </w:t>
      </w:r>
    </w:p>
    <w:p>
      <w:pPr>
        <w:jc w:val="both"/>
      </w:pPr>
      <w:r>
        <w:rPr>
          <w:sz w:val="21"/>
        </w:rPr>
        <w:t>承诺单位业务联系人：</w:t>
      </w:r>
    </w:p>
    <w:p>
      <w:pPr>
        <w:jc w:val="both"/>
      </w:pPr>
      <w:r>
        <w:rPr>
          <w:sz w:val="21"/>
        </w:rPr>
        <w:t>（签字）</w:t>
      </w:r>
    </w:p>
    <w:p>
      <w:pPr>
        <w:jc w:val="both"/>
      </w:pPr>
      <w:r>
        <w:rPr>
          <w:sz w:val="21"/>
        </w:rPr>
        <w:t>联系电话：</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440001-2024-02823</w:t>
      </w:r>
    </w:p>
    <w:p>
      <w:pPr>
        <w:jc w:val="center"/>
      </w:pPr>
      <w:r>
        <w:rPr>
          <w:b/>
          <w:sz w:val="24"/>
        </w:rPr>
        <w:t>采购项目编号：</w:t>
      </w:r>
      <w:r>
        <w:rPr>
          <w:b/>
          <w:sz w:val="24"/>
        </w:rPr>
        <w:t>GZGK24P015C0065Z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广东省工伤康复中心广州院区食堂服务管理项目</w:t>
      </w:r>
      <w:r>
        <w:rPr>
          <w:u w:val="single"/>
        </w:rPr>
        <w:t>”</w:t>
      </w:r>
      <w:r>
        <w:rPr/>
        <w:t>项目的招标[采购项目编号为：</w:t>
      </w:r>
      <w:r>
        <w:rPr>
          <w:u w:val="single"/>
        </w:rPr>
        <w:t>GZGK24P015C0065Z</w:t>
      </w:r>
      <w:r>
        <w:rPr/>
        <w:t>]，我方愿参与投标。</w:t>
      </w:r>
    </w:p>
    <w:p>
      <w:pPr>
        <w:ind w:firstLine="480"/>
      </w:pPr>
      <w:r>
        <w:rPr/>
        <w:t>我方确认收到贵方提供的</w:t>
      </w:r>
      <w:r>
        <w:rPr>
          <w:u w:val="single"/>
        </w:rPr>
        <w:t>“</w:t>
      </w:r>
      <w:r>
        <w:rPr>
          <w:u w:val="single"/>
        </w:rPr>
        <w:t>广东省工伤康复中心广州院区食堂服务管理项目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广东省工伤康复中心广州院区食堂服务管理项目</w:t>
      </w:r>
      <w:r>
        <w:rPr/>
        <w:t>”项目采购[采购项目编号为</w:t>
      </w:r>
      <w:r>
        <w:rPr/>
        <w:t>GZGK24P015C0065Z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广东省工伤康复中心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广东省工伤康复中心广州院区食堂服务管理项目</w:t>
      </w:r>
      <w:r>
        <w:rPr/>
        <w:t>招标中获中标（采购项目编号：</w:t>
      </w:r>
      <w:r>
        <w:rPr/>
        <w:t>GZGK24P015C0065Z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广东省工伤康复中心广州院区食堂服务管理项目</w:t>
      </w:r>
      <w:r>
        <w:rPr/>
        <w:t>”项目（采购项目编号：</w:t>
      </w:r>
      <w:r>
        <w:rPr/>
        <w:t>GZGK24P015C0065Z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