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440001-2024-04594</w:t>
      </w:r>
    </w:p>
    <w:p>
      <w:pPr>
        <w:jc w:val="center"/>
      </w:pPr>
      <w:r>
        <w:rPr>
          <w:b/>
          <w:sz w:val="24"/>
        </w:rPr>
        <w:t>采购项目编号：</w:t>
      </w:r>
      <w:r>
        <w:rPr>
          <w:b/>
          <w:sz w:val="24"/>
        </w:rPr>
        <w:t>GZGK24P020C0080Z</w:t>
      </w:r>
    </w:p>
    <w:p>
      <w:pPr>
        <w:jc w:val="center"/>
      </w:pPr>
      <w:r>
        <w:rPr>
          <w:b/>
          <w:sz w:val="24"/>
        </w:rPr>
        <w:t>项目名称：</w:t>
      </w:r>
      <w:r>
        <w:rPr>
          <w:b/>
          <w:sz w:val="24"/>
        </w:rPr>
        <w:t>广东省标准化研究院2024年度标准化服务项目</w:t>
      </w:r>
    </w:p>
    <w:p>
      <w:pPr>
        <w:jc w:val="center"/>
      </w:pPr>
      <w:r>
        <w:rPr>
          <w:b/>
          <w:sz w:val="24"/>
        </w:rPr>
        <w:t>采购人：</w:t>
      </w:r>
      <w:r>
        <w:rPr>
          <w:b/>
          <w:sz w:val="24"/>
        </w:rPr>
        <w:t>广东省标准化研究院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广东省标准化研究院</w:t>
      </w:r>
      <w:r>
        <w:rPr/>
        <w:t>的委托，采用</w:t>
      </w:r>
      <w:r>
        <w:rPr/>
        <w:t>公开招标</w:t>
      </w:r>
      <w:r>
        <w:rPr/>
        <w:t>方式组织采购</w:t>
      </w:r>
      <w:r>
        <w:rPr/>
        <w:t>广东省标准化研究院2024年度标准化服务项目</w:t>
      </w:r>
      <w:r>
        <w:rPr/>
        <w:t>。欢迎符合资格条件的国内供应商参加投标。</w:t>
      </w:r>
    </w:p>
    <w:p>
      <w:r>
        <w:rPr>
          <w:b/>
          <w:sz w:val="28"/>
        </w:rPr>
        <w:t>一.项目概述</w:t>
      </w:r>
    </w:p>
    <w:p>
      <w:r>
        <w:rPr>
          <w:b/>
          <w:sz w:val="24"/>
        </w:rPr>
        <w:t>1.名称与编号</w:t>
      </w:r>
    </w:p>
    <w:p>
      <w:pPr>
        <w:ind w:firstLine="480"/>
      </w:pPr>
      <w:r>
        <w:rPr/>
        <w:t>项目名称：</w:t>
      </w:r>
      <w:r>
        <w:rPr/>
        <w:t>广东省标准化研究院2024年度标准化服务项目</w:t>
      </w:r>
    </w:p>
    <w:p>
      <w:pPr>
        <w:ind w:firstLine="480"/>
      </w:pPr>
      <w:r>
        <w:rPr/>
        <w:t>采购计划编号：</w:t>
      </w:r>
      <w:r>
        <w:rPr/>
        <w:t>440001-2024-04594</w:t>
      </w:r>
    </w:p>
    <w:p>
      <w:pPr>
        <w:ind w:firstLine="480"/>
      </w:pPr>
      <w:r>
        <w:rPr/>
        <w:t>采购项目编号：</w:t>
      </w:r>
      <w:r>
        <w:rPr/>
        <w:t>GZGK24P020C0080Z</w:t>
      </w:r>
    </w:p>
    <w:p>
      <w:pPr>
        <w:ind w:firstLine="480"/>
      </w:pPr>
      <w:r>
        <w:rPr/>
        <w:t>采购方式：</w:t>
      </w:r>
      <w:r>
        <w:rPr/>
        <w:t>公开招标</w:t>
      </w:r>
    </w:p>
    <w:p>
      <w:pPr>
        <w:ind w:firstLine="480"/>
      </w:pPr>
      <w:r>
        <w:rPr/>
        <w:t>预算金额：</w:t>
      </w:r>
      <w:r>
        <w:rPr/>
        <w:t>5,500,000.00</w:t>
      </w:r>
      <w:r>
        <w:rPr/>
        <w:t>元</w:t>
      </w:r>
    </w:p>
    <w:p>
      <w:r>
        <w:rPr>
          <w:b/>
          <w:sz w:val="24"/>
        </w:rPr>
        <w:t>2.项目内容及需求情况（采购项目技术规格、参数及要求）</w:t>
      </w:r>
    </w:p>
    <w:p>
      <w:pPr>
        <w:ind w:firstLine="480"/>
      </w:pPr>
    </w:p>
    <w:p/>
    <w:p>
      <w:r>
        <w:rPr/>
        <w:t>采购包1(2024年度标准化服务):</w:t>
      </w:r>
    </w:p>
    <w:p>
      <w:r>
        <w:rPr/>
        <w:t>采购包预算金额：5,500,000.00元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其他信息技术服务</w:t>
            </w:r>
          </w:p>
        </w:tc>
        <w:tc>
          <w:tcPr>
            <w:tcW w:type="dxa" w:w="2136"/>
          </w:tcPr>
          <w:p>
            <w:r>
              <w:rPr/>
              <w:t>2024年度标准化服务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3）具有良好的商业信誉和健全的财务会计制度：供应商必须具有良好的商业信誉和健全的财务会计制度（提供2022年度或2023年度财务状况报告或基本开户行出具的资信证明）。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采购包1（2024年度标准化服务）：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采购包1（2024年度标准化服务）：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广东省标准化研究院</w:t>
      </w:r>
    </w:p>
    <w:p>
      <w:pPr>
        <w:ind w:firstLine="480"/>
      </w:pPr>
      <w:r>
        <w:rPr/>
        <w:t>地址：</w:t>
      </w:r>
      <w:r>
        <w:rPr/>
        <w:t>广东省广州市海珠区南田路563号</w:t>
      </w:r>
    </w:p>
    <w:p>
      <w:pPr>
        <w:ind w:firstLine="480"/>
      </w:pPr>
      <w:r>
        <w:rPr/>
        <w:t>联系方式：</w:t>
      </w:r>
      <w:r>
        <w:rPr/>
        <w:t>020-34312571</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020-37814404、020-87687056</w:t>
      </w:r>
    </w:p>
    <w:p>
      <w:r>
        <w:rPr>
          <w:b/>
          <w:sz w:val="24"/>
        </w:rPr>
        <w:t>3.项目联系方式</w:t>
      </w:r>
    </w:p>
    <w:p>
      <w:pPr>
        <w:ind w:firstLine="480"/>
      </w:pPr>
      <w:r>
        <w:rPr/>
        <w:t>项目联系人：</w:t>
      </w:r>
      <w:r>
        <w:rPr/>
        <w:t>吕永珊、梁诗琦</w:t>
      </w:r>
    </w:p>
    <w:p>
      <w:pPr>
        <w:ind w:firstLine="480"/>
      </w:pPr>
      <w:r>
        <w:rPr/>
        <w:t>电话：</w:t>
      </w:r>
      <w:r>
        <w:rPr/>
        <w:t>020-37814404、020-87687056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GZGK24P020C0080Z</w:t>
      </w:r>
    </w:p>
    <w:p>
      <w:pPr>
        <w:jc w:val="both"/>
      </w:pPr>
      <w:r>
        <w:rPr>
          <w:b/>
          <w:sz w:val="21"/>
        </w:rPr>
        <w:t>（二）</w:t>
      </w:r>
      <w:r>
        <w:rPr>
          <w:b/>
          <w:sz w:val="21"/>
        </w:rPr>
        <w:t>项目名称：</w:t>
      </w:r>
      <w:r>
        <w:rPr>
          <w:sz w:val="21"/>
        </w:rPr>
        <w:t>广东省标准化研究院</w:t>
      </w:r>
      <w:r>
        <w:rPr>
          <w:sz w:val="21"/>
        </w:rPr>
        <w:t>2024年度标准化服务项目</w:t>
      </w:r>
    </w:p>
    <w:p>
      <w:pPr>
        <w:jc w:val="both"/>
      </w:pPr>
      <w:r>
        <w:rPr>
          <w:b/>
          <w:sz w:val="21"/>
        </w:rPr>
        <w:t>（三）</w:t>
      </w:r>
      <w:r>
        <w:rPr>
          <w:b/>
          <w:sz w:val="21"/>
        </w:rPr>
        <w:t>总体要求说明：</w:t>
      </w:r>
    </w:p>
    <w:p>
      <w:pPr>
        <w:jc w:val="both"/>
      </w:pPr>
      <w:r>
        <w:rPr>
          <w:sz w:val="21"/>
        </w:rPr>
        <w:t>1、</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2、</w:t>
      </w:r>
      <w:r>
        <w:rPr>
          <w:sz w:val="21"/>
        </w:rPr>
        <w:t>涉及到软件产品的，必须采购和使用正版软件，项目中涉及计算机办公产品的，必须预装正版操作系统软件。</w:t>
      </w:r>
    </w:p>
    <w:p>
      <w:pPr>
        <w:jc w:val="both"/>
      </w:pPr>
      <w:r>
        <w:rPr>
          <w:sz w:val="21"/>
        </w:rPr>
        <w:t>3、</w:t>
      </w:r>
      <w:r>
        <w:rPr>
          <w:sz w:val="21"/>
        </w:rPr>
        <w:t>投标人没有在投标文件中注明偏离（文字说明或在响应表注明）的条款视为被投标人完全接受。</w:t>
      </w:r>
    </w:p>
    <w:p>
      <w:pPr>
        <w:jc w:val="both"/>
      </w:pPr>
      <w:r>
        <w:rPr>
          <w:sz w:val="21"/>
        </w:rPr>
        <w:t>4、</w:t>
      </w:r>
      <w:r>
        <w:rPr>
          <w:sz w:val="21"/>
        </w:rPr>
        <w:t>投标人应保证，采购人在中华人民共和国使用该服务或服务的任何一部分时，免受第三方提出的侵犯其专利权、商标权、著作权或其它知识产权的起诉。</w:t>
      </w:r>
    </w:p>
    <w:p>
      <w:pPr>
        <w:jc w:val="both"/>
      </w:pPr>
      <w:r>
        <w:rPr>
          <w:sz w:val="21"/>
        </w:rPr>
        <w:t>5、</w:t>
      </w:r>
      <w:r>
        <w:rPr>
          <w:sz w:val="21"/>
        </w:rPr>
        <w:t>不允许中标供应商</w:t>
      </w:r>
      <w:r>
        <w:rPr>
          <w:sz w:val="21"/>
        </w:rPr>
        <w:t>转包、分包项目内容</w:t>
      </w:r>
      <w:r>
        <w:rPr>
          <w:sz w:val="21"/>
        </w:rPr>
        <w:t>。</w:t>
      </w:r>
    </w:p>
    <w:p>
      <w:pPr>
        <w:jc w:val="both"/>
      </w:pPr>
      <w:r>
        <w:rPr>
          <w:sz w:val="21"/>
        </w:rPr>
        <w:t>6、</w:t>
      </w:r>
      <w:r>
        <w:rPr>
          <w:sz w:val="21"/>
        </w:rPr>
        <w:t>小型和微型企业、监狱企业和残疾人福利性单位必须按照招标文件第三章内容提供相应的资料。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8、</w:t>
      </w:r>
      <w:r>
        <w:rPr>
          <w:sz w:val="21"/>
        </w:rPr>
        <w:t>项目响应要求：投标人应针对本项目情况，在投标文件中对以下内容进行响应并提供相应的分析及方案：（</w:t>
      </w:r>
      <w:r>
        <w:rPr>
          <w:sz w:val="21"/>
        </w:rPr>
        <w:t>1）</w:t>
      </w:r>
      <w:r>
        <w:rPr>
          <w:sz w:val="21"/>
        </w:rPr>
        <w:t>项目理解能力</w:t>
      </w:r>
      <w:r>
        <w:rPr>
          <w:sz w:val="21"/>
        </w:rPr>
        <w:t>；（</w:t>
      </w:r>
      <w:r>
        <w:rPr>
          <w:sz w:val="21"/>
        </w:rPr>
        <w:t>2）</w:t>
      </w:r>
      <w:r>
        <w:rPr>
          <w:sz w:val="21"/>
        </w:rPr>
        <w:t>标准化技术服务方案</w:t>
      </w:r>
      <w:r>
        <w:rPr>
          <w:sz w:val="21"/>
        </w:rPr>
        <w:t>；（</w:t>
      </w:r>
      <w:r>
        <w:rPr>
          <w:sz w:val="21"/>
        </w:rPr>
        <w:t>3）</w:t>
      </w:r>
      <w:r>
        <w:rPr>
          <w:sz w:val="21"/>
        </w:rPr>
        <w:t>进度计划及质量保证措施</w:t>
      </w:r>
      <w:r>
        <w:rPr>
          <w:sz w:val="21"/>
        </w:rPr>
        <w:t>；（</w:t>
      </w:r>
      <w:r>
        <w:rPr>
          <w:sz w:val="21"/>
        </w:rPr>
        <w:t>4）</w:t>
      </w:r>
      <w:r>
        <w:rPr>
          <w:sz w:val="21"/>
        </w:rPr>
        <w:t>对国内外标准更新以及加工情况</w:t>
      </w:r>
      <w:r>
        <w:rPr>
          <w:sz w:val="21"/>
        </w:rPr>
        <w:t>；（</w:t>
      </w:r>
      <w:r>
        <w:rPr>
          <w:sz w:val="21"/>
        </w:rPr>
        <w:t>5）</w:t>
      </w:r>
      <w:r>
        <w:rPr>
          <w:sz w:val="21"/>
        </w:rPr>
        <w:t>重难点分析及应对措施</w:t>
      </w:r>
      <w:r>
        <w:rPr>
          <w:sz w:val="21"/>
        </w:rPr>
        <w:t>；（</w:t>
      </w:r>
      <w:r>
        <w:rPr>
          <w:sz w:val="21"/>
        </w:rPr>
        <w:t>6）</w:t>
      </w:r>
      <w:r>
        <w:rPr>
          <w:sz w:val="21"/>
        </w:rPr>
        <w:t>人员职责分工方案</w:t>
      </w:r>
      <w:r>
        <w:rPr>
          <w:sz w:val="21"/>
        </w:rPr>
        <w:t>；（</w:t>
      </w:r>
      <w:r>
        <w:rPr>
          <w:sz w:val="21"/>
        </w:rPr>
        <w:t>7）</w:t>
      </w:r>
      <w:r>
        <w:rPr>
          <w:sz w:val="21"/>
        </w:rPr>
        <w:t>售后服务方案</w:t>
      </w:r>
      <w:r>
        <w:rPr>
          <w:sz w:val="21"/>
        </w:rPr>
        <w:t>。</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jc w:val="both"/>
      </w:pPr>
      <w:r>
        <w:rPr>
          <w:sz w:val="21"/>
        </w:rPr>
        <w:t>2、</w:t>
      </w:r>
      <w:r>
        <w:rPr>
          <w:sz w:val="21"/>
        </w:rPr>
        <w:t>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系统维护费、投入人员费、系统调试费、保险费和税费等在项目实施过程中的全部费用。中标供应商报价中漏报或少报的费用，视为此项费用已隐含在投标报价中，中标供应商中标后不得再向采购人收取任何费用。</w:t>
      </w:r>
    </w:p>
    <w:p>
      <w:pPr>
        <w:jc w:val="both"/>
      </w:pPr>
      <w:r>
        <w:rPr>
          <w:b/>
          <w:sz w:val="21"/>
        </w:rPr>
        <w:t>（六）</w:t>
      </w:r>
      <w:r>
        <w:rPr>
          <w:b/>
          <w:sz w:val="21"/>
        </w:rPr>
        <w:t>实现的目标</w:t>
      </w:r>
    </w:p>
    <w:p>
      <w:pPr>
        <w:ind w:firstLine="420"/>
        <w:jc w:val="left"/>
      </w:pPr>
      <w:r>
        <w:rPr>
          <w:sz w:val="21"/>
        </w:rPr>
        <w:t>本项目拟通过公开招标选取一家中标供应商，为采购人提供</w:t>
      </w:r>
      <w:r>
        <w:rPr>
          <w:sz w:val="21"/>
        </w:rPr>
        <w:t>标准化信息技术服务支撑。</w:t>
      </w:r>
    </w:p>
    <w:p>
      <w:pPr>
        <w:jc w:val="both"/>
      </w:pPr>
      <w:r>
        <w:rPr>
          <w:b/>
          <w:sz w:val="21"/>
        </w:rPr>
        <w:t>（七）</w:t>
      </w:r>
      <w:r>
        <w:rPr>
          <w:b/>
          <w:sz w:val="21"/>
        </w:rPr>
        <w:t>需执行国家相关标准、行业标准、地方标准或者其他标准、规范</w:t>
      </w:r>
    </w:p>
    <w:p/>
    <w:p>
      <w:pPr>
        <w:ind w:firstLine="480"/>
      </w:pPr>
    </w:p>
    <w:p/>
    <w:p>
      <w:r>
        <w:rPr/>
        <w:t>采购包1（2024年度标准化服务）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服务期限：自合同签订起至2025年4月30日。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1期：支付比例40%,合同签订后5个工作日内支付合同总额的40%</w:t>
            </w:r>
          </w:p>
          <w:p/>
          <w:p>
            <w:r>
              <w:rPr/>
              <w:t>2期：支付比例30%,2024年6月30日前完成项目中期验收，并向中标人支付合同金额的30%。如中标人不能通过采购人的项目中期验收，不予支付余下款项，并且中标人需退还已支付款项。采购人有权提前终止合同并追究中标人的违约责任</w:t>
            </w:r>
          </w:p>
          <w:p/>
          <w:p>
            <w:r>
              <w:rPr/>
              <w:t>3期：支付比例20%,2024年9月30日前完成项目验收，并向中标人支付合同金额的20%。如中标人不能通过采购人的项目验收，不予支付余下款项，并且中标人需退还已支付款项。采购人有权提前终止合同并追究中标人的违约责任</w:t>
            </w:r>
          </w:p>
          <w:p/>
          <w:p>
            <w:r>
              <w:rPr/>
              <w:t>4期：支付比例10%,项目验收完成后，在2024年内支付合同金额的10%</w:t>
            </w:r>
          </w:p>
        </w:tc>
      </w:tr>
      <w:tr>
        <w:tc>
          <w:tcPr>
            <w:tcW w:type="dxa" w:w="4153"/>
          </w:tcPr>
          <w:p>
            <w:r>
              <w:rPr/>
              <w:t>验收要求</w:t>
            </w:r>
          </w:p>
        </w:tc>
        <w:tc>
          <w:tcPr>
            <w:tcW w:type="dxa" w:w="4153"/>
          </w:tcPr>
          <w:p/>
          <w:p/>
          <w:p/>
          <w:p>
            <w:r>
              <w:rPr/>
              <w:t>1期：2024年6月30日前，根据任务完成情况提交项目中期验收总结报告并通过采购人绩效验收。项目不能通过采购人中期验收的，中标人应全额返还已支付金额，并承担采购人项目工期损失</w:t>
            </w:r>
          </w:p>
          <w:p/>
          <w:p>
            <w:r>
              <w:rPr/>
              <w:t>2期：2024年9月30日前，根据本年度任务提交项目总结报告并通过采购人绩效验收。根据本招标文件的项目内容，逐项提交项目验收报告和采购人盖章的项目验收确认单。项目不能通过采购人验收的，中标人应全额返还已支付金额，并承担采购人项目工期损失</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其他信息技术服务</w:t>
            </w:r>
          </w:p>
        </w:tc>
        <w:tc>
          <w:tcPr>
            <w:tcW w:type="dxa" w:w="933"/>
          </w:tcPr>
          <w:p>
            <w:pPr>
              <w:jc w:val="left"/>
            </w:pPr>
            <w:r>
              <w:rPr/>
              <w:t>2024年度标准化服务</w:t>
            </w:r>
          </w:p>
        </w:tc>
        <w:tc>
          <w:tcPr>
            <w:tcW w:type="dxa" w:w="933"/>
          </w:tcPr>
          <w:p>
            <w:pPr>
              <w:jc w:val="left"/>
            </w:pPr>
            <w:r>
              <w:rPr/>
              <w:t>项</w:t>
            </w:r>
          </w:p>
        </w:tc>
        <w:tc>
          <w:tcPr>
            <w:tcW w:type="dxa" w:w="933"/>
          </w:tcPr>
          <w:p>
            <w:pPr>
              <w:jc w:val="right"/>
            </w:pPr>
            <w:r>
              <w:rPr/>
              <w:t>1.00</w:t>
            </w:r>
          </w:p>
        </w:tc>
        <w:tc>
          <w:tcPr>
            <w:tcW w:type="dxa" w:w="933"/>
          </w:tcPr>
          <w:p>
            <w:pPr>
              <w:jc w:val="right"/>
            </w:pPr>
            <w:r>
              <w:rPr/>
              <w:t>5,500,000.00</w:t>
            </w:r>
          </w:p>
        </w:tc>
        <w:tc>
          <w:tcPr>
            <w:tcW w:type="dxa" w:w="933"/>
          </w:tcPr>
          <w:p>
            <w:pPr>
              <w:jc w:val="right"/>
            </w:pPr>
            <w:r>
              <w:rPr/>
              <w:t>5,500,000.00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2024年度标准化服务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一、项目背景</w:t>
            </w:r>
          </w:p>
          <w:p>
            <w:pPr>
              <w:ind w:firstLine="420"/>
              <w:jc w:val="both"/>
            </w:pPr>
            <w:r>
              <w:rPr>
                <w:sz w:val="21"/>
              </w:rPr>
              <w:t>标准是经济活动和社会发展的基石，是国家基础性制度的核心要素。标准化在推动国家治理体系和治理能力现代化中起着基础性、引领性的关键作用。根据《国家标准化发展纲要》所设定的目标，到</w:t>
            </w:r>
            <w:r>
              <w:rPr>
                <w:sz w:val="21"/>
              </w:rPr>
              <w:t>2025年，将实现标准供给由政府主导向政府与市场并重转型，标准运用将覆盖更广泛的经济社会领域，而非仅限于产业与贸易。标准化工作将逐渐走向国内国际相互促进，发展模式也将由数量规模型向质量效益型转变。通过标准化的推动，将更有效提升国家综合竞争力，促进经济社会高质量发展。本项目旨在促进产业规模的扩大和服务质量的提升，有序推进各项任务的落实，进一步发挥标准化在推进国家治理体系和治理能力现代化中的基础性、引领性作用。</w:t>
            </w:r>
          </w:p>
          <w:p>
            <w:pPr>
              <w:jc w:val="both"/>
            </w:pPr>
            <w:r>
              <w:rPr>
                <w:b/>
                <w:sz w:val="21"/>
              </w:rPr>
              <w:t>二、项目需求</w:t>
            </w:r>
          </w:p>
          <w:p>
            <w:pPr>
              <w:ind w:firstLine="420"/>
              <w:jc w:val="both"/>
            </w:pPr>
            <w:r>
              <w:rPr>
                <w:sz w:val="21"/>
              </w:rPr>
              <w:t>1、人员要求：服务期内中标人派驻至少1</w:t>
            </w:r>
            <w:r>
              <w:rPr>
                <w:sz w:val="21"/>
              </w:rPr>
              <w:t>2</w:t>
            </w:r>
            <w:r>
              <w:rPr>
                <w:sz w:val="21"/>
              </w:rPr>
              <w:t>名技术人员在</w:t>
            </w:r>
            <w:r>
              <w:rPr>
                <w:sz w:val="21"/>
              </w:rPr>
              <w:t>广东省标准化研究院，并</w:t>
            </w:r>
            <w:r>
              <w:rPr>
                <w:sz w:val="21"/>
              </w:rPr>
              <w:t>提供标准化信息技术服务支撑，其中本科及以上学历占比</w:t>
            </w:r>
            <w:r>
              <w:rPr>
                <w:sz w:val="21"/>
              </w:rPr>
              <w:t>8</w:t>
            </w:r>
            <w:r>
              <w:rPr>
                <w:sz w:val="21"/>
              </w:rPr>
              <w:t>5</w:t>
            </w:r>
            <w:r>
              <w:rPr>
                <w:sz w:val="21"/>
              </w:rPr>
              <w:t>%及以上。</w:t>
            </w:r>
          </w:p>
          <w:p>
            <w:pPr>
              <w:ind w:firstLine="420"/>
              <w:jc w:val="both"/>
            </w:pPr>
            <w:r>
              <w:rPr>
                <w:sz w:val="21"/>
              </w:rPr>
              <w:t>2、主要需求：负责“双碳”信息服务平台优化和维护；负责标准信息服务平台升级和维护；负责标准化能力建设和服务提升；负责数字化驾驶舱建设和维护；负责建筑领域节能降碳标准指标挖掘；负责国外碳减排与绿色标准数据库建设；负责商品数据采集招标需求；负责条码管理系统维护及功能拓展招标需求；负责湿地领域标准化技术咨询服务；负责粤港澳大湾区标准信息公共服务平台安全优化和升级；负责标准研制及应用示范；负责科普展览标准化研究；负责国家技术标准创新基地（华南中心）2024年建设及运营；负责重点工业领域标准研制；负责基于灰色关联度的无人船安全风险模糊综合评价系统维护；负责广州市越秀区基本公共服务标准化服务平台维护；负责液态包装装备制造业标准化工作支撑；负责统一社会信用代码服务接口升级改造及维护；负责广东省标准馆多媒体硬件日常维护项目；负责产品质量安全风险信息分析及风险监测研究。</w:t>
            </w:r>
          </w:p>
          <w:p>
            <w:pPr>
              <w:ind w:firstLine="420"/>
              <w:jc w:val="both"/>
            </w:pPr>
          </w:p>
          <w:p>
            <w:pPr>
              <w:jc w:val="both"/>
            </w:pPr>
            <w:r>
              <w:rPr>
                <w:b/>
                <w:sz w:val="21"/>
              </w:rPr>
              <w:t>三、项目内容</w:t>
            </w:r>
          </w:p>
          <w:p>
            <w:pPr>
              <w:jc w:val="both"/>
            </w:pPr>
            <w:r>
              <w:rPr>
                <w:b/>
                <w:sz w:val="21"/>
              </w:rPr>
              <w:t>(一)</w:t>
            </w:r>
            <w:r>
              <w:rPr>
                <w:b/>
                <w:sz w:val="21"/>
              </w:rPr>
              <w:t>“双碳”信息服务平台优化和维护</w:t>
            </w:r>
          </w:p>
          <w:p>
            <w:pPr>
              <w:jc w:val="both"/>
            </w:pPr>
            <w:r>
              <w:rPr>
                <w:b/>
                <w:color w:val="000000"/>
                <w:sz w:val="21"/>
              </w:rPr>
              <w:t>1.项目背景</w:t>
            </w:r>
          </w:p>
          <w:p>
            <w:pPr>
              <w:ind w:firstLine="420"/>
              <w:jc w:val="both"/>
            </w:pPr>
            <w:r>
              <w:rPr>
                <w:sz w:val="21"/>
              </w:rPr>
              <w:t>中国力争在</w:t>
            </w:r>
            <w:r>
              <w:rPr>
                <w:sz w:val="21"/>
              </w:rPr>
              <w:t>2030 年之前实现碳达峰，2060 年之前实现碳中和，这是一项宏大的系统性工程，离不开标准化的技术支撑作用。联合国政府间气候变化专门委员会（IPCC）在其报告当中特别指出，“技术标准是当前减缓和适应气候变化的一种技术途径”。《中共中央 国务院关于完整准确全面贯彻新发展理念做好碳达峰碳中和工作的意见》《国务院关于印发 2030 年前碳达峰行动方案的通知》《国家标准化发展纲要》等国家政策文件提出了“建立健全碳达峰、碳中和标准，实施碳达峰、碳中和标准化提升工程”的工作要求。为助力碳达峰、碳中和标准化提升工程，</w:t>
            </w:r>
            <w:r>
              <w:rPr>
                <w:sz w:val="21"/>
              </w:rPr>
              <w:t>广东省标准化研究院</w:t>
            </w:r>
            <w:r>
              <w:rPr>
                <w:sz w:val="21"/>
              </w:rPr>
              <w:t>自</w:t>
            </w:r>
            <w:r>
              <w:rPr>
                <w:sz w:val="21"/>
              </w:rPr>
              <w:t>2022 年开始推动碳达峰碳中和标准化技术信息公共服务平台建设工作，致力于打造碳达峰碳中和政策法规、标准研制、标准信息数据库、双碳技术案例示范、培训课程等一站式多功能双碳标准化技术信息公共服务平台，面向社会，为广大用户提供全方位碳达峰碳中和标准化技术服务。</w:t>
            </w:r>
          </w:p>
          <w:p>
            <w:pPr>
              <w:jc w:val="both"/>
            </w:pPr>
            <w:r>
              <w:rPr>
                <w:b/>
                <w:color w:val="000000"/>
                <w:sz w:val="21"/>
              </w:rPr>
              <w:t>2.项目简要描述：</w:t>
            </w:r>
          </w:p>
          <w:p>
            <w:pPr>
              <w:ind w:firstLine="420"/>
              <w:jc w:val="both"/>
            </w:pPr>
            <w:r>
              <w:rPr>
                <w:sz w:val="21"/>
              </w:rPr>
              <w:t>对广东省碳达峰碳中和标准化技术信息公共服务平台进行优化和维护。</w:t>
            </w:r>
          </w:p>
          <w:p>
            <w:pPr>
              <w:jc w:val="both"/>
            </w:pPr>
            <w:r>
              <w:rPr>
                <w:b/>
                <w:color w:val="000000"/>
                <w:sz w:val="21"/>
              </w:rPr>
              <w:t>3.项目的技术参数或要求</w:t>
            </w:r>
          </w:p>
          <w:p>
            <w:pPr>
              <w:ind w:firstLine="420"/>
              <w:jc w:val="both"/>
            </w:pPr>
            <w:r>
              <w:rPr>
                <w:sz w:val="21"/>
              </w:rPr>
              <w:t>开展相关数据采集和更新维护，确保平台的日常维护、运营管理，以及</w:t>
            </w:r>
            <w:r>
              <w:rPr>
                <w:sz w:val="21"/>
              </w:rPr>
              <w:t>“双碳”标准数据库更新和相关政策法规、标准制修订全生命周期公告、双碳技术示范案例、培训课程等范围信息更新。</w:t>
            </w:r>
          </w:p>
          <w:p>
            <w:pPr>
              <w:ind w:firstLine="420"/>
              <w:jc w:val="both"/>
            </w:pPr>
            <w:r>
              <w:rPr>
                <w:sz w:val="21"/>
              </w:rPr>
              <w:t>主要需求点：</w:t>
            </w:r>
          </w:p>
          <w:p>
            <w:pPr>
              <w:ind w:firstLine="420"/>
              <w:jc w:val="both"/>
            </w:pPr>
            <w:r>
              <w:rPr>
                <w:sz w:val="21"/>
              </w:rPr>
              <w:t>（</w:t>
            </w:r>
            <w:r>
              <w:rPr>
                <w:sz w:val="21"/>
              </w:rPr>
              <w:t>1）系统数据更新：平台数据定期更新，保证信息时效性与准确性；</w:t>
            </w:r>
          </w:p>
          <w:p>
            <w:pPr>
              <w:ind w:firstLine="420"/>
              <w:jc w:val="both"/>
            </w:pPr>
            <w:r>
              <w:rPr>
                <w:sz w:val="21"/>
              </w:rPr>
              <w:t>（</w:t>
            </w:r>
            <w:r>
              <w:rPr>
                <w:sz w:val="21"/>
              </w:rPr>
              <w:t>2）日常系统维护：维护系统的正常运行，保证数据的安全性，对出现的故障及时分析并处理；</w:t>
            </w:r>
          </w:p>
          <w:p>
            <w:pPr>
              <w:ind w:firstLine="420"/>
              <w:jc w:val="both"/>
            </w:pPr>
            <w:r>
              <w:rPr>
                <w:sz w:val="21"/>
              </w:rPr>
              <w:t>（</w:t>
            </w:r>
            <w:r>
              <w:rPr>
                <w:sz w:val="21"/>
              </w:rPr>
              <w:t>3）运营管理：日常运营审核各项最新数据，核查敏感词汇，确保提交的相关信息标准符合国家相关政策法规。</w:t>
            </w:r>
          </w:p>
          <w:p>
            <w:pPr>
              <w:jc w:val="both"/>
            </w:pPr>
          </w:p>
          <w:p>
            <w:pPr>
              <w:jc w:val="both"/>
            </w:pPr>
            <w:r>
              <w:rPr>
                <w:b/>
                <w:sz w:val="21"/>
              </w:rPr>
              <w:t>(二)</w:t>
            </w:r>
            <w:r>
              <w:rPr>
                <w:b/>
                <w:sz w:val="21"/>
              </w:rPr>
              <w:t>标准信息服务平台升级和维护</w:t>
            </w:r>
          </w:p>
          <w:p>
            <w:pPr>
              <w:jc w:val="both"/>
            </w:pPr>
            <w:r>
              <w:rPr>
                <w:b/>
                <w:color w:val="000000"/>
                <w:sz w:val="21"/>
              </w:rPr>
              <w:t>1.项目背景</w:t>
            </w:r>
          </w:p>
          <w:p>
            <w:pPr>
              <w:ind w:firstLine="420"/>
              <w:jc w:val="both"/>
            </w:pPr>
            <w:r>
              <w:rPr>
                <w:sz w:val="21"/>
              </w:rPr>
              <w:t>2020 年国民经济和社会发展十四五规划和 2035 年远景目标中，明确提出：完善国家质量基础设施，加强标准、计量、专利等体系和能力建设，深入开展质量提升行动。按照《中华人民共和国标准化法》、《质量强国建设纲要》、《国家标准化发展纲要》等文件的部署要求，充分发挥标准的基础性、战略性、引领性作用，广东省标准信息公共服务平台作为省级标准信息公共服务平台，面向社会，为广大用户提供全方位标准化技术服务。</w:t>
            </w:r>
          </w:p>
          <w:p>
            <w:pPr>
              <w:jc w:val="both"/>
            </w:pPr>
            <w:r>
              <w:rPr>
                <w:b/>
                <w:color w:val="000000"/>
                <w:sz w:val="21"/>
              </w:rPr>
              <w:t>2.项目简要描述：</w:t>
            </w:r>
          </w:p>
          <w:p>
            <w:pPr>
              <w:ind w:firstLine="420"/>
              <w:jc w:val="both"/>
            </w:pPr>
            <w:r>
              <w:rPr>
                <w:sz w:val="21"/>
              </w:rPr>
              <w:t>对广东省标准信息公共服务平台进行用户使用体验提升、丰富标准图书资源、功能升级优化和维护。</w:t>
            </w:r>
          </w:p>
          <w:p>
            <w:pPr>
              <w:jc w:val="both"/>
            </w:pPr>
            <w:r>
              <w:rPr>
                <w:b/>
                <w:color w:val="000000"/>
                <w:sz w:val="21"/>
              </w:rPr>
              <w:t>3.项目的技术参数或要求：</w:t>
            </w:r>
          </w:p>
          <w:p>
            <w:pPr>
              <w:ind w:firstLine="420"/>
              <w:jc w:val="both"/>
            </w:pPr>
            <w:r>
              <w:rPr>
                <w:sz w:val="21"/>
              </w:rPr>
              <w:t>主要工作内容：</w:t>
            </w:r>
          </w:p>
          <w:p>
            <w:pPr>
              <w:ind w:firstLine="420"/>
              <w:jc w:val="both"/>
            </w:pPr>
            <w:r>
              <w:rPr>
                <w:sz w:val="21"/>
              </w:rPr>
              <w:t>（</w:t>
            </w:r>
            <w:r>
              <w:rPr>
                <w:sz w:val="21"/>
              </w:rPr>
              <w:t>1）提升用户体验：围绕平台现有功能，进行用户体验提升工作；</w:t>
            </w:r>
          </w:p>
          <w:p>
            <w:pPr>
              <w:ind w:firstLine="420"/>
              <w:jc w:val="both"/>
            </w:pPr>
            <w:r>
              <w:rPr>
                <w:sz w:val="21"/>
              </w:rPr>
              <w:t>（</w:t>
            </w:r>
            <w:r>
              <w:rPr>
                <w:sz w:val="21"/>
              </w:rPr>
              <w:t>2）新增资讯功能：新增通知公告、政策法规等资讯类内容；</w:t>
            </w:r>
          </w:p>
          <w:p>
            <w:pPr>
              <w:ind w:firstLine="420"/>
              <w:jc w:val="both"/>
            </w:pPr>
            <w:r>
              <w:rPr>
                <w:sz w:val="21"/>
              </w:rPr>
              <w:t>（</w:t>
            </w:r>
            <w:r>
              <w:rPr>
                <w:sz w:val="21"/>
              </w:rPr>
              <w:t>3）系统数据更新：平台数据定期更新，保证信息时效性与准确性；</w:t>
            </w:r>
          </w:p>
          <w:p>
            <w:pPr>
              <w:jc w:val="both"/>
            </w:pPr>
            <w:r>
              <w:rPr>
                <w:sz w:val="21"/>
              </w:rPr>
              <w:t>（</w:t>
            </w:r>
            <w:r>
              <w:rPr>
                <w:sz w:val="21"/>
              </w:rPr>
              <w:t>4</w:t>
            </w:r>
            <w:r>
              <w:rPr>
                <w:sz w:val="21"/>
              </w:rPr>
              <w:t>）丰富标准图书资源：包括但不限于标准、图书等资料资源；</w:t>
            </w:r>
          </w:p>
          <w:p>
            <w:pPr>
              <w:ind w:firstLine="420"/>
              <w:jc w:val="both"/>
            </w:pPr>
            <w:r>
              <w:rPr>
                <w:sz w:val="21"/>
              </w:rPr>
              <w:t>（</w:t>
            </w:r>
            <w:r>
              <w:rPr>
                <w:sz w:val="21"/>
              </w:rPr>
              <w:t>5</w:t>
            </w:r>
            <w:r>
              <w:rPr>
                <w:sz w:val="21"/>
              </w:rPr>
              <w:t>）日常系统维护：维护系统的正常运行，保证数据的安全性，对出现的故障及时分析并处理。</w:t>
            </w:r>
          </w:p>
          <w:p>
            <w:pPr>
              <w:jc w:val="both"/>
            </w:pPr>
            <w:r>
              <w:rPr>
                <w:b/>
                <w:sz w:val="21"/>
              </w:rPr>
              <w:t>(三)</w:t>
            </w:r>
            <w:r>
              <w:rPr>
                <w:b/>
                <w:sz w:val="21"/>
              </w:rPr>
              <w:t>标准化能力建设和服务提升</w:t>
            </w:r>
          </w:p>
          <w:p>
            <w:pPr>
              <w:jc w:val="both"/>
            </w:pPr>
            <w:r>
              <w:rPr>
                <w:b/>
                <w:color w:val="000000"/>
                <w:sz w:val="21"/>
              </w:rPr>
              <w:t>1.项目背景</w:t>
            </w:r>
          </w:p>
          <w:p>
            <w:pPr>
              <w:ind w:firstLine="420"/>
              <w:jc w:val="both"/>
            </w:pPr>
            <w:r>
              <w:rPr>
                <w:sz w:val="21"/>
              </w:rPr>
              <w:t>为保证</w:t>
            </w:r>
            <w:r>
              <w:rPr>
                <w:sz w:val="21"/>
              </w:rPr>
              <w:t>广东省标准化研究院</w:t>
            </w:r>
            <w:r>
              <w:rPr>
                <w:sz w:val="21"/>
              </w:rPr>
              <w:t>标准化专业人员标准化能力提升、快速且精准熟悉标准化相关法律法规、政策和专业知识，有效开展具体工作，提升标准供给质量，发挥标准对促进转型升级、引领创新驱动的支撑作用，研究构建</w:t>
            </w:r>
            <w:r>
              <w:rPr>
                <w:sz w:val="21"/>
              </w:rPr>
              <w:t>广东省标准化研究院</w:t>
            </w:r>
            <w:r>
              <w:rPr>
                <w:sz w:val="21"/>
              </w:rPr>
              <w:t>标准化能力提升平台。</w:t>
            </w:r>
          </w:p>
          <w:p>
            <w:pPr>
              <w:jc w:val="both"/>
            </w:pPr>
            <w:r>
              <w:rPr>
                <w:b/>
                <w:color w:val="000000"/>
                <w:sz w:val="21"/>
              </w:rPr>
              <w:t>2.项目简要描述：</w:t>
            </w:r>
          </w:p>
          <w:p>
            <w:pPr>
              <w:ind w:firstLine="420"/>
              <w:jc w:val="both"/>
            </w:pPr>
            <w:r>
              <w:rPr>
                <w:sz w:val="21"/>
              </w:rPr>
              <w:t>构建广东省标准化研究院标准化能力提升平台</w:t>
            </w:r>
          </w:p>
          <w:p>
            <w:pPr>
              <w:jc w:val="both"/>
            </w:pPr>
            <w:r>
              <w:rPr>
                <w:b/>
                <w:color w:val="000000"/>
                <w:sz w:val="21"/>
              </w:rPr>
              <w:t>3.项目的技术参数或要求：</w:t>
            </w:r>
          </w:p>
          <w:p>
            <w:pPr>
              <w:ind w:firstLine="420"/>
              <w:jc w:val="both"/>
            </w:pPr>
            <w:r>
              <w:rPr>
                <w:sz w:val="21"/>
              </w:rPr>
              <w:t>主要工作内容：</w:t>
            </w:r>
          </w:p>
          <w:p>
            <w:pPr>
              <w:ind w:firstLine="420"/>
              <w:jc w:val="both"/>
            </w:pPr>
            <w:r>
              <w:rPr>
                <w:sz w:val="21"/>
              </w:rPr>
              <w:t>（</w:t>
            </w:r>
            <w:r>
              <w:rPr>
                <w:sz w:val="21"/>
              </w:rPr>
              <w:t>1）收集并梳理与标准化能力提升相关的标准、政策、图书、视频资源等资料；</w:t>
            </w:r>
          </w:p>
          <w:p>
            <w:pPr>
              <w:ind w:firstLine="420"/>
              <w:jc w:val="both"/>
            </w:pPr>
            <w:r>
              <w:rPr>
                <w:sz w:val="21"/>
              </w:rPr>
              <w:t>（</w:t>
            </w:r>
            <w:r>
              <w:rPr>
                <w:sz w:val="21"/>
              </w:rPr>
              <w:t>2）构建广东省标准化研究院标准化能力提升平台。</w:t>
            </w:r>
          </w:p>
          <w:p>
            <w:pPr>
              <w:jc w:val="both"/>
            </w:pPr>
            <w:r>
              <w:rPr>
                <w:b/>
                <w:sz w:val="21"/>
              </w:rPr>
              <w:t>(四)</w:t>
            </w:r>
            <w:r>
              <w:rPr>
                <w:b/>
                <w:sz w:val="21"/>
              </w:rPr>
              <w:t>数字化驾驶舱建设和维护</w:t>
            </w:r>
          </w:p>
          <w:p>
            <w:pPr>
              <w:jc w:val="both"/>
            </w:pPr>
            <w:r>
              <w:rPr>
                <w:b/>
                <w:color w:val="000000"/>
                <w:sz w:val="21"/>
              </w:rPr>
              <w:t>1.项目背景</w:t>
            </w:r>
          </w:p>
          <w:p>
            <w:pPr>
              <w:ind w:firstLine="420"/>
              <w:jc w:val="both"/>
            </w:pPr>
            <w:r>
              <w:rPr>
                <w:sz w:val="21"/>
              </w:rPr>
              <w:t xml:space="preserve"> </w:t>
            </w:r>
            <w:r>
              <w:rPr>
                <w:sz w:val="21"/>
              </w:rPr>
              <w:t>数字化驾驶舱是一个动态的信息管理工具，它提供了一个数据可视化视图，展现了业务中最关键的性能指标，能帮助采购人迅速把握业务状态。通过数字化驾驶舱，可以轻松访问和解释复杂数据，从宏观角度监控各项业务状况，深入挖掘每个关键指标，节省时间，减少错误，帮助采购人做出更快更好的业务决策。</w:t>
            </w:r>
          </w:p>
          <w:p>
            <w:pPr>
              <w:jc w:val="both"/>
            </w:pPr>
            <w:r>
              <w:rPr>
                <w:b/>
                <w:color w:val="000000"/>
                <w:sz w:val="21"/>
              </w:rPr>
              <w:t>2.项目简要描述：</w:t>
            </w:r>
          </w:p>
          <w:p>
            <w:pPr>
              <w:ind w:firstLine="420"/>
              <w:jc w:val="both"/>
            </w:pPr>
            <w:r>
              <w:rPr>
                <w:sz w:val="21"/>
              </w:rPr>
              <w:t xml:space="preserve"> </w:t>
            </w:r>
            <w:r>
              <w:rPr>
                <w:sz w:val="21"/>
              </w:rPr>
              <w:t>构建广东省标准化研究院数字化驾驶舱</w:t>
            </w:r>
          </w:p>
          <w:p>
            <w:pPr>
              <w:jc w:val="both"/>
            </w:pPr>
            <w:r>
              <w:rPr>
                <w:b/>
                <w:color w:val="000000"/>
                <w:sz w:val="21"/>
              </w:rPr>
              <w:t>3.项目的技术参数或要求：</w:t>
            </w:r>
          </w:p>
          <w:p>
            <w:pPr>
              <w:ind w:firstLine="420"/>
              <w:jc w:val="both"/>
            </w:pPr>
            <w:r>
              <w:rPr>
                <w:sz w:val="21"/>
              </w:rPr>
              <w:t>主要工作内容：</w:t>
            </w:r>
          </w:p>
          <w:p>
            <w:pPr>
              <w:ind w:firstLine="420"/>
              <w:jc w:val="both"/>
            </w:pPr>
            <w:r>
              <w:rPr>
                <w:sz w:val="21"/>
              </w:rPr>
              <w:t>（</w:t>
            </w:r>
            <w:r>
              <w:rPr>
                <w:sz w:val="21"/>
              </w:rPr>
              <w:t>1）收集并整理相关业务数据；</w:t>
            </w:r>
          </w:p>
          <w:p>
            <w:pPr>
              <w:ind w:firstLine="420"/>
              <w:jc w:val="both"/>
            </w:pPr>
            <w:r>
              <w:rPr>
                <w:sz w:val="21"/>
              </w:rPr>
              <w:t>（</w:t>
            </w:r>
            <w:r>
              <w:rPr>
                <w:sz w:val="21"/>
              </w:rPr>
              <w:t>2）构建广东省标准化研究院数字化驾驶舱。</w:t>
            </w:r>
          </w:p>
          <w:p>
            <w:pPr>
              <w:jc w:val="both"/>
            </w:pPr>
            <w:r>
              <w:rPr>
                <w:b/>
                <w:sz w:val="21"/>
              </w:rPr>
              <w:t>(五)</w:t>
            </w:r>
            <w:r>
              <w:rPr>
                <w:b/>
                <w:sz w:val="21"/>
              </w:rPr>
              <w:t>建筑领域节能降碳标准指标挖掘</w:t>
            </w:r>
          </w:p>
          <w:p>
            <w:pPr>
              <w:jc w:val="both"/>
            </w:pPr>
            <w:r>
              <w:rPr>
                <w:b/>
                <w:color w:val="000000"/>
                <w:sz w:val="21"/>
              </w:rPr>
              <w:t>1.项目背景</w:t>
            </w:r>
          </w:p>
          <w:p>
            <w:pPr>
              <w:ind w:firstLine="420"/>
              <w:jc w:val="both"/>
            </w:pPr>
            <w:r>
              <w:rPr>
                <w:sz w:val="21"/>
              </w:rPr>
              <w:t>节能标准是国家节能制度的基础，是提高能源利用效率、加强节能减排工作的技术支撑。</w:t>
            </w:r>
            <w:r>
              <w:rPr>
                <w:sz w:val="21"/>
              </w:rPr>
              <w:t>2023年3月8号，为全面贯彻党的二十大精神，贯彻落实《中华人民共和国节约能源法》《中华人民共和国标准化法》和《中共中央、国务院关于完整准确全面贯彻新发展理念做好碳达峰碳中和工作的意见》《2030年前碳达峰行动方案》《国家标准化发展纲要》《“十四五”节能减排综合工作方案》等有关要求，持续推进节能标准更新升级和应用实施，支撑重点领域和行业节能降碳改造，加快节能降碳先进技术研发和推广应用，国家发布《关于进一步加强节能标准更新升级和应用实施的通知》，其中涉及到，稳步提升重点用能行业能耗限额要求，持续提高重点用能产品设备能效水平，切实加强标准实施情况监督检查，大力推进重点行业和产品设备节能降碳更新改造。同时，在75届联合国大会上，中国提出积极推进绿色低碳发展，力争在2030年前实现碳达峰，2060年前实现碳中和的目标。我国十四五规划中明确指出，要深入推进工业、建筑、交通等领域低碳转型。而建筑全过程碳排放量约占全国碳排放总量的一半以上，因此建筑行业的绿色转型对实现双碳目标至关重要，要大力推广超低能耗、近零能耗的高品质绿色建筑，实现减排降碳的目标。“双碳”目标的提出，对于建筑行业来说既是挑战也是机遇。可持续发展不再是企业自身“高标准”的加分项，而是生存和发展的“及格线”，这对建筑领域企业产生了硬性的转型驱动力，企业开始直面低碳转型和业务发展的双重压力。</w:t>
            </w:r>
          </w:p>
          <w:p>
            <w:pPr>
              <w:jc w:val="both"/>
            </w:pPr>
            <w:r>
              <w:rPr>
                <w:b/>
                <w:color w:val="000000"/>
                <w:sz w:val="21"/>
              </w:rPr>
              <w:t>2.项目简要描述：</w:t>
            </w:r>
          </w:p>
          <w:p>
            <w:pPr>
              <w:ind w:firstLine="420"/>
              <w:jc w:val="both"/>
            </w:pPr>
            <w:r>
              <w:rPr>
                <w:sz w:val="21"/>
              </w:rPr>
              <w:t>本项目研究我国建筑领域节能降碳标准能效限定值及能效等级分布情况，挖掘相关节能能效指标，形成能耗限额准入值和限定值标准指标数据库。研究建筑行业节能降碳标准指标比对和应用研究，旨在通过标准指标挖掘比对，并对国内外相关的指标进行比较，实现建筑行业节能降碳，降低能源损耗，提高经济效益。</w:t>
            </w:r>
          </w:p>
          <w:p>
            <w:pPr>
              <w:ind w:firstLine="420"/>
              <w:jc w:val="both"/>
            </w:pPr>
            <w:r>
              <w:rPr>
                <w:sz w:val="21"/>
              </w:rPr>
              <w:t>首先，收集建筑领域节能降碳相关的研究文献、数据资料，把握建筑领域节能产品标准化的研究起点；然后，针对性调研涉及建筑领域节能产品标准化的相关行政部门，了解对应领域内节能产品对标的问题及标准化行为；最后，开展标准实施应用效果调研。</w:t>
            </w:r>
          </w:p>
          <w:p>
            <w:pPr>
              <w:jc w:val="both"/>
            </w:pPr>
            <w:r>
              <w:rPr>
                <w:b/>
                <w:color w:val="000000"/>
                <w:sz w:val="21"/>
              </w:rPr>
              <w:t>3.项目的技术参数或要求：</w:t>
            </w:r>
          </w:p>
          <w:p>
            <w:pPr>
              <w:ind w:firstLine="420"/>
              <w:jc w:val="both"/>
            </w:pPr>
            <w:r>
              <w:rPr>
                <w:sz w:val="21"/>
              </w:rPr>
              <w:t>其技术参数或要求主要包括但不限于下列指标：</w:t>
            </w:r>
          </w:p>
          <w:p>
            <w:pPr>
              <w:ind w:firstLine="420"/>
              <w:jc w:val="both"/>
            </w:pPr>
            <w:r>
              <w:rPr>
                <w:sz w:val="21"/>
              </w:rPr>
              <w:t>（</w:t>
            </w:r>
            <w:r>
              <w:rPr>
                <w:sz w:val="21"/>
              </w:rPr>
              <w:t>1）建筑材料能耗限值；</w:t>
            </w:r>
          </w:p>
          <w:p>
            <w:pPr>
              <w:ind w:firstLine="420"/>
              <w:jc w:val="both"/>
            </w:pPr>
            <w:r>
              <w:rPr>
                <w:sz w:val="21"/>
              </w:rPr>
              <w:t>（</w:t>
            </w:r>
            <w:r>
              <w:rPr>
                <w:sz w:val="21"/>
              </w:rPr>
              <w:t>2）建筑材料节能指标；</w:t>
            </w:r>
          </w:p>
          <w:p>
            <w:pPr>
              <w:ind w:firstLine="420"/>
              <w:jc w:val="both"/>
            </w:pPr>
            <w:r>
              <w:rPr>
                <w:sz w:val="21"/>
              </w:rPr>
              <w:t>（</w:t>
            </w:r>
            <w:r>
              <w:rPr>
                <w:sz w:val="21"/>
              </w:rPr>
              <w:t>3）建筑能耗密度：建筑能耗密度是指单位建筑面积的能耗量，是衡量建筑能耗水平的重要指标。建筑能耗密度的降低可以通过改善建筑节能设计、采用节能材料、优化建筑使用方式等方式实现；</w:t>
            </w:r>
          </w:p>
          <w:p>
            <w:pPr>
              <w:ind w:firstLine="420"/>
              <w:jc w:val="both"/>
            </w:pPr>
            <w:r>
              <w:rPr>
                <w:sz w:val="21"/>
              </w:rPr>
              <w:t>（</w:t>
            </w:r>
            <w:r>
              <w:rPr>
                <w:sz w:val="21"/>
              </w:rPr>
              <w:t>4）建筑节能率：建筑节能率是指建筑节能量与建筑能耗量之比，是衡量建筑节能效果的重要指标；</w:t>
            </w:r>
          </w:p>
          <w:p>
            <w:pPr>
              <w:ind w:firstLine="420"/>
              <w:jc w:val="both"/>
            </w:pPr>
            <w:r>
              <w:rPr>
                <w:sz w:val="21"/>
              </w:rPr>
              <w:t>（</w:t>
            </w:r>
            <w:r>
              <w:rPr>
                <w:sz w:val="21"/>
              </w:rPr>
              <w:t>5）建筑节能技术水平：建筑节能技术水平是指建筑节能技术的先进程度，包括建筑节能材料、建筑节能设备、建筑节能技术等方面；</w:t>
            </w:r>
          </w:p>
          <w:p>
            <w:pPr>
              <w:ind w:firstLine="420"/>
              <w:jc w:val="both"/>
            </w:pPr>
            <w:r>
              <w:rPr>
                <w:sz w:val="21"/>
              </w:rPr>
              <w:t>（</w:t>
            </w:r>
            <w:r>
              <w:rPr>
                <w:sz w:val="21"/>
              </w:rPr>
              <w:t>6）其他节能降碳相关指标。</w:t>
            </w:r>
          </w:p>
          <w:p>
            <w:pPr>
              <w:jc w:val="both"/>
            </w:pPr>
            <w:r>
              <w:rPr>
                <w:b/>
                <w:color w:val="000000"/>
                <w:sz w:val="21"/>
              </w:rPr>
              <w:t>4.其他说明：</w:t>
            </w:r>
          </w:p>
          <w:p>
            <w:pPr>
              <w:jc w:val="both"/>
            </w:pPr>
            <w:r>
              <w:rPr>
                <w:i/>
                <w:sz w:val="21"/>
              </w:rPr>
              <w:t xml:space="preserve">  </w:t>
            </w:r>
            <w:r>
              <w:rPr>
                <w:i/>
                <w:sz w:val="21"/>
              </w:rPr>
              <w:t xml:space="preserve"> </w:t>
            </w:r>
            <w:r>
              <w:rPr>
                <w:i/>
                <w:sz w:val="21"/>
              </w:rPr>
              <w:t xml:space="preserve"> </w:t>
            </w:r>
            <w:r>
              <w:rPr>
                <w:sz w:val="21"/>
              </w:rPr>
              <w:t>2024年4月</w:t>
            </w:r>
            <w:r>
              <w:rPr>
                <w:sz w:val="21"/>
              </w:rPr>
              <w:t>至</w:t>
            </w:r>
            <w:r>
              <w:rPr>
                <w:sz w:val="21"/>
              </w:rPr>
              <w:t>2024年6月标准分析和指标：划定建筑领域节能降碳标准的范围，在范围内对涉及挖掘节能降碳标准进行指标的解析，挖掘，形成可读的标准文件信息，录入数据库。</w:t>
            </w:r>
          </w:p>
          <w:p>
            <w:pPr>
              <w:ind w:firstLine="420"/>
              <w:jc w:val="both"/>
            </w:pPr>
            <w:r>
              <w:rPr>
                <w:sz w:val="21"/>
              </w:rPr>
              <w:t>2024</w:t>
            </w:r>
            <w:r>
              <w:rPr>
                <w:sz w:val="21"/>
              </w:rPr>
              <w:t>年</w:t>
            </w:r>
            <w:r>
              <w:rPr>
                <w:sz w:val="21"/>
              </w:rPr>
              <w:t>7</w:t>
            </w:r>
            <w:r>
              <w:rPr>
                <w:sz w:val="21"/>
              </w:rPr>
              <w:t>月至</w:t>
            </w:r>
            <w:r>
              <w:rPr>
                <w:sz w:val="21"/>
              </w:rPr>
              <w:t>2024</w:t>
            </w:r>
            <w:r>
              <w:rPr>
                <w:sz w:val="21"/>
              </w:rPr>
              <w:t>年</w:t>
            </w:r>
            <w:r>
              <w:rPr>
                <w:sz w:val="21"/>
              </w:rPr>
              <w:t>9</w:t>
            </w:r>
            <w:r>
              <w:rPr>
                <w:sz w:val="21"/>
              </w:rPr>
              <w:t>月标准指标比</w:t>
            </w:r>
            <w:r>
              <w:rPr>
                <w:sz w:val="21"/>
              </w:rPr>
              <w:t>对：对建筑领域节能降碳标准指标进行标准指标的比对工作，比对的对象包括发达国家如美国、澳大利亚、欧盟等组织的节能标准。</w:t>
            </w:r>
          </w:p>
          <w:p>
            <w:pPr>
              <w:jc w:val="both"/>
            </w:pPr>
            <w:r>
              <w:rPr>
                <w:b/>
                <w:sz w:val="21"/>
              </w:rPr>
              <w:t>(六)</w:t>
            </w:r>
            <w:r>
              <w:rPr>
                <w:b/>
                <w:sz w:val="21"/>
              </w:rPr>
              <w:t>国外碳减排与绿色标准数据库建设</w:t>
            </w:r>
          </w:p>
          <w:p>
            <w:pPr>
              <w:jc w:val="both"/>
            </w:pPr>
            <w:r>
              <w:rPr>
                <w:b/>
                <w:color w:val="000000"/>
                <w:sz w:val="21"/>
              </w:rPr>
              <w:t>1.项目背景</w:t>
            </w:r>
          </w:p>
          <w:p>
            <w:pPr>
              <w:ind w:firstLine="420"/>
              <w:jc w:val="both"/>
            </w:pPr>
            <w:r>
              <w:rPr>
                <w:sz w:val="21"/>
              </w:rPr>
              <w:t>近年来，国际标准化组织开展了丰富的标准化研究，为碳减排工作奠定了基础。</w:t>
            </w:r>
            <w:r>
              <w:rPr>
                <w:sz w:val="21"/>
              </w:rPr>
              <w:t>2015年9月，联合国大会通过了《2030年可持续发展议程》，该议程涵盖17个可持续发展目标，其中目标13为“气候行动——采取紧急行动应对气候变化及其影响”。欧盟在工业、建筑、交通等部门制定了温室气体管控相关的排放标准、测定标准与综合管理标准，以加强温室气体排放监测、机动车排放管控与能源消耗，提高用能效率。欧盟建立了世界首个碳排放交易体系（欧盟碳排放交易体系EU ETS)，将碳排放权管理上升到法律层面，通过规定各类数据应满足的数据层级要求，确保连续监测方法与核算方法具有可比的数据质量，并制定系统的质量控制标准体系（包括EN 15259、EN 15267-3、EN 14181等），用来规范连续监测方法的质量控制，其中《固定源排放——自动测量系统的质量保证》（EN 14181）是欧洲标准化委员会有史以来制定的最重要、要求最高的标准之一，奠定了欧盟连续排放监测系统（CEMS）质量保证体系的基础。</w:t>
            </w:r>
          </w:p>
          <w:p>
            <w:pPr>
              <w:jc w:val="both"/>
            </w:pPr>
            <w:r>
              <w:rPr>
                <w:b/>
                <w:color w:val="000000"/>
                <w:sz w:val="21"/>
              </w:rPr>
              <w:t>2.项目简要描述：</w:t>
            </w:r>
          </w:p>
          <w:p>
            <w:pPr>
              <w:ind w:firstLine="420"/>
              <w:jc w:val="both"/>
            </w:pPr>
            <w:r>
              <w:rPr>
                <w:sz w:val="21"/>
              </w:rPr>
              <w:t>通过采集国际国外低碳与绿色贸易相关的法规标准，例如欧盟碳关税法规、电池法案以及对应的碳足迹标准与方法学，系统性分析、筛选、整理与摘要翻译，形成国外重点经济体、发达国家绿色与低碳法规标准数据库一套，面向社会提供低碳绿色标准指标信息公共服务，积极引导行业、企业广泛参与碳减排与绿色标准融合转化推广工作，形成政府、行业、企业等多方沟通渠道，有效解决多方沟通问题。同时开展团体标准的制定、推广和宣贯，推动项目产出绿色与低碳相关标准，响应市场主体的需求反馈。</w:t>
            </w:r>
          </w:p>
          <w:p>
            <w:pPr>
              <w:jc w:val="both"/>
            </w:pPr>
            <w:r>
              <w:rPr>
                <w:b/>
                <w:color w:val="000000"/>
                <w:sz w:val="21"/>
              </w:rPr>
              <w:t>3.项目的技术参数或要求：</w:t>
            </w:r>
          </w:p>
          <w:p>
            <w:pPr>
              <w:ind w:firstLine="420"/>
              <w:jc w:val="both"/>
            </w:pPr>
            <w:r>
              <w:rPr>
                <w:sz w:val="21"/>
              </w:rPr>
              <w:t>（</w:t>
            </w:r>
            <w:r>
              <w:rPr>
                <w:sz w:val="21"/>
              </w:rPr>
              <w:t>1）国外重点经济体、发达国家绿色与低碳法规标准数据库构建1套（数据量不少于50条）；</w:t>
            </w:r>
          </w:p>
          <w:p>
            <w:pPr>
              <w:ind w:firstLine="420"/>
              <w:jc w:val="both"/>
            </w:pPr>
            <w:r>
              <w:rPr>
                <w:sz w:val="21"/>
              </w:rPr>
              <w:t>（</w:t>
            </w:r>
            <w:r>
              <w:rPr>
                <w:sz w:val="21"/>
              </w:rPr>
              <w:t>2）低碳领域团体标准1份。</w:t>
            </w:r>
          </w:p>
          <w:p>
            <w:pPr>
              <w:jc w:val="both"/>
            </w:pPr>
            <w:r>
              <w:rPr>
                <w:b/>
                <w:sz w:val="21"/>
              </w:rPr>
              <w:t>(七)</w:t>
            </w:r>
            <w:r>
              <w:rPr>
                <w:b/>
                <w:sz w:val="21"/>
              </w:rPr>
              <w:t>商品数据采集招标需求</w:t>
            </w:r>
          </w:p>
          <w:p>
            <w:pPr>
              <w:jc w:val="both"/>
            </w:pPr>
            <w:r>
              <w:rPr>
                <w:b/>
                <w:color w:val="000000"/>
                <w:sz w:val="21"/>
              </w:rPr>
              <w:t>1.项目背景</w:t>
            </w:r>
          </w:p>
          <w:p>
            <w:pPr>
              <w:ind w:firstLine="420"/>
              <w:jc w:val="both"/>
            </w:pPr>
            <w:r>
              <w:rPr>
                <w:sz w:val="21"/>
              </w:rPr>
              <w:t>随着信息化程度的深入和发展，当前对商品信息的准确性和完整性需求越来越大。为满足大量商品数据采集的需求，主要通过商品源数据服务和缺失数据补录两种方式来采集和完善商品数据。</w:t>
            </w:r>
          </w:p>
          <w:p>
            <w:pPr>
              <w:ind w:firstLine="420"/>
              <w:jc w:val="both"/>
            </w:pPr>
            <w:r>
              <w:rPr>
                <w:sz w:val="21"/>
              </w:rPr>
              <w:t>商品源数据服务是</w:t>
            </w:r>
            <w:r>
              <w:rPr>
                <w:sz w:val="21"/>
              </w:rPr>
              <w:t>我们向生产方、流通方、销售方、购物方</w:t>
            </w:r>
            <w:r>
              <w:rPr>
                <w:sz w:val="21"/>
              </w:rPr>
              <w:t>提供标准化商品信息数据服务、协助贸易各方进行信息交互而建立的数据服务实体。源数据采集向制造企业提供商品实物的测量、拍摄、包装信息采集整理服务，帮助采购人完整全面的整理商品信息，方便采购人向各类应用系统分享展示标准化商品信息。解决目前</w:t>
            </w:r>
            <w:r>
              <w:rPr>
                <w:sz w:val="21"/>
              </w:rPr>
              <w:t>“中国商品信息服务平台”内采集的商品数据质量不高的问题，从源头提升商品数据的完整性、准确性、标准化、时效性和一致性。源数据采集工作所提供的全部商品信息符合国际物品编码协会及全球主要发达国家对商品信息的通用规范，可以直接应用于全球数据同步系统（GDSN）。</w:t>
            </w:r>
          </w:p>
          <w:p>
            <w:pPr>
              <w:jc w:val="both"/>
            </w:pPr>
            <w:r>
              <w:rPr>
                <w:b/>
                <w:color w:val="000000"/>
                <w:sz w:val="21"/>
              </w:rPr>
              <w:t>2.项目简要描述：</w:t>
            </w:r>
          </w:p>
          <w:p>
            <w:r>
              <w:rPr>
                <w:b/>
                <w:sz w:val="21"/>
              </w:rPr>
              <w:t>商品源数据服务工作内容：</w:t>
            </w:r>
          </w:p>
          <w:p>
            <w:pPr>
              <w:ind w:firstLine="420"/>
              <w:jc w:val="both"/>
            </w:pPr>
            <w:r>
              <w:rPr>
                <w:sz w:val="21"/>
              </w:rPr>
              <w:t>（</w:t>
            </w:r>
            <w:r>
              <w:rPr>
                <w:sz w:val="21"/>
              </w:rPr>
              <w:t>1）生成订单：首先用户要在平台上对要采集数据的商品进行下单，用户可以在自己账户下“新建数据资产”模块进行下单，也可以委托源数据服务工作室进行下单，如果是源数据服务工作室下单的商品，需有企业提供的商品收货处理单（商品收货处理单见附录A），下单后一个月内未处理的订单会被关闭；</w:t>
            </w:r>
          </w:p>
          <w:p>
            <w:pPr>
              <w:ind w:firstLine="420"/>
              <w:jc w:val="both"/>
            </w:pPr>
            <w:r>
              <w:rPr>
                <w:sz w:val="21"/>
              </w:rPr>
              <w:t>（</w:t>
            </w:r>
            <w:r>
              <w:rPr>
                <w:sz w:val="21"/>
              </w:rPr>
              <w:t>2）商品收货：工作室收到用户寄来的商品样品后，检查商品是否符合数据采集要求，并补充商品收货处理单中收货相关信息，不符合的商品样品进行退回，符合要求的商品样品整理入库，收货工作要求在收到样品后5个工作日内完成；</w:t>
            </w:r>
          </w:p>
          <w:p>
            <w:pPr>
              <w:ind w:firstLine="420"/>
              <w:jc w:val="both"/>
            </w:pPr>
            <w:r>
              <w:rPr>
                <w:sz w:val="21"/>
              </w:rPr>
              <w:t>（</w:t>
            </w:r>
            <w:r>
              <w:rPr>
                <w:sz w:val="21"/>
              </w:rPr>
              <w:t>3）采集数据：用户或者工作室数据采集人员在订单列表中核对入库并即将采集数据的商品，然后采集商品的文字信息、图片信息以及测量信息，全部采集完成后在系统中进行提交。订单商品数低于50个时，要求收货后15个工作日内采集完成该订单。订单商品数高于50个（含50个）时，要求收货后30个工作日内采集完成该订单；</w:t>
            </w:r>
          </w:p>
          <w:p>
            <w:pPr>
              <w:ind w:firstLine="420"/>
              <w:jc w:val="both"/>
            </w:pPr>
            <w:r>
              <w:rPr>
                <w:sz w:val="21"/>
              </w:rPr>
              <w:t>（</w:t>
            </w:r>
            <w:r>
              <w:rPr>
                <w:sz w:val="21"/>
              </w:rPr>
              <w:t>4）订单审核：工作室管理员对已经采集完成的商品信息进行审核，采集商品信息与样品包装信息显示一致，准确性与完整性都符合要求即可审核通过，审核通过的数据在系统中同步，未审核通过数据打回重新修改。订单商品数低于50个时，要求采集完成后5个工作日内审核完成该订单。订单商品数高于50个（含50个）时，采集完成后10个工作日内审核完成该订单。</w:t>
            </w:r>
          </w:p>
          <w:p>
            <w:pPr>
              <w:ind w:firstLine="420"/>
              <w:jc w:val="both"/>
            </w:pPr>
            <w:r>
              <w:rPr>
                <w:sz w:val="21"/>
              </w:rPr>
              <w:t>（</w:t>
            </w:r>
            <w:r>
              <w:rPr>
                <w:sz w:val="21"/>
              </w:rPr>
              <w:t>5）企业确认：用户自主下单的商品，源数据工作室采集并审核完成的商品数据资产需最后让企业进行确认，企业认可后订单完结。企业不认可的商品数据资产会交由源数据服务工作室重新采集并审核。</w:t>
            </w:r>
          </w:p>
          <w:p>
            <w:r>
              <w:rPr>
                <w:b/>
                <w:sz w:val="21"/>
              </w:rPr>
              <w:t>缺失数据补录工作内容：</w:t>
            </w:r>
          </w:p>
          <w:p>
            <w:pPr>
              <w:ind w:firstLine="420"/>
              <w:jc w:val="both"/>
            </w:pPr>
            <w:r>
              <w:rPr>
                <w:sz w:val="21"/>
              </w:rPr>
              <w:t>缺失数据补录是通过商品信息服务平台</w:t>
            </w:r>
            <w:r>
              <w:rPr>
                <w:sz w:val="21"/>
              </w:rPr>
              <w:t>https://www.gds.org.cn，对国家中心下达年度系统成员缺失产品信息的待核实清单，督促指导系统成员进行核实并实录数据。</w:t>
            </w:r>
          </w:p>
          <w:p>
            <w:pPr>
              <w:jc w:val="both"/>
            </w:pPr>
            <w:r>
              <w:rPr>
                <w:b/>
                <w:sz w:val="21"/>
              </w:rPr>
              <w:t>3.项目的技术参数要求：</w:t>
            </w:r>
          </w:p>
          <w:p>
            <w:pPr>
              <w:ind w:firstLine="420"/>
              <w:jc w:val="both"/>
            </w:pPr>
            <w:r>
              <w:rPr>
                <w:sz w:val="21"/>
              </w:rPr>
              <w:t>商品源数据服务应符合以下要求</w:t>
            </w:r>
          </w:p>
          <w:p>
            <w:pPr>
              <w:ind w:firstLine="420"/>
              <w:jc w:val="both"/>
            </w:pPr>
            <w:r>
              <w:rPr>
                <w:sz w:val="21"/>
              </w:rPr>
              <w:t>1、所有包含商品信息的商品正侧面图片都必须采集；</w:t>
            </w:r>
          </w:p>
          <w:p>
            <w:pPr>
              <w:ind w:firstLine="420"/>
              <w:jc w:val="both"/>
            </w:pPr>
            <w:r>
              <w:rPr>
                <w:sz w:val="21"/>
              </w:rPr>
              <w:t>2、每个商品至少有前面图和后面图；</w:t>
            </w:r>
          </w:p>
          <w:p>
            <w:pPr>
              <w:ind w:firstLine="420"/>
              <w:jc w:val="both"/>
            </w:pPr>
            <w:r>
              <w:rPr>
                <w:sz w:val="21"/>
              </w:rPr>
              <w:t>3、图片为JPEG、PNG或TIF格式；</w:t>
            </w:r>
          </w:p>
          <w:p>
            <w:pPr>
              <w:ind w:firstLine="420"/>
              <w:jc w:val="both"/>
            </w:pPr>
            <w:r>
              <w:rPr>
                <w:sz w:val="21"/>
              </w:rPr>
              <w:t>4、图片像素≥2400 x 2400；</w:t>
            </w:r>
          </w:p>
          <w:p>
            <w:pPr>
              <w:ind w:firstLine="420"/>
              <w:jc w:val="both"/>
            </w:pPr>
            <w:r>
              <w:rPr>
                <w:sz w:val="21"/>
              </w:rPr>
              <w:t>5、宽高比1:1，分辨率300dpi；</w:t>
            </w:r>
          </w:p>
          <w:p>
            <w:pPr>
              <w:ind w:firstLine="420"/>
              <w:jc w:val="both"/>
            </w:pPr>
            <w:r>
              <w:rPr>
                <w:sz w:val="21"/>
              </w:rPr>
              <w:t>6、图片为RGB颜色空间；</w:t>
            </w:r>
          </w:p>
          <w:p>
            <w:pPr>
              <w:ind w:firstLine="420"/>
              <w:jc w:val="both"/>
            </w:pPr>
            <w:r>
              <w:rPr>
                <w:sz w:val="21"/>
              </w:rPr>
              <w:t>7、图片背景色应为白色（255,255,255）；</w:t>
            </w:r>
          </w:p>
          <w:p>
            <w:pPr>
              <w:ind w:firstLine="420"/>
              <w:jc w:val="both"/>
            </w:pPr>
            <w:r>
              <w:rPr>
                <w:sz w:val="21"/>
              </w:rPr>
              <w:t>8、商品在图片上居中，商品最长边顶点与图片边界的距离占图片总长的2%--5%；</w:t>
            </w:r>
          </w:p>
          <w:p>
            <w:pPr>
              <w:ind w:firstLine="420"/>
              <w:jc w:val="both"/>
            </w:pPr>
            <w:r>
              <w:rPr>
                <w:sz w:val="21"/>
              </w:rPr>
              <w:t>9、图片中不包括拍摄道具、装饰或参考辅助对象；</w:t>
            </w:r>
          </w:p>
          <w:p>
            <w:pPr>
              <w:ind w:firstLine="420"/>
              <w:jc w:val="both"/>
            </w:pPr>
            <w:r>
              <w:rPr>
                <w:sz w:val="21"/>
              </w:rPr>
              <w:t>10、图片中不显示商品生产日期、有效期、批次号等商品动态信息；</w:t>
            </w:r>
          </w:p>
          <w:p>
            <w:pPr>
              <w:ind w:firstLine="420"/>
              <w:jc w:val="both"/>
            </w:pPr>
            <w:r>
              <w:rPr>
                <w:sz w:val="21"/>
              </w:rPr>
              <w:t>11、柔和均匀照明减少反射；</w:t>
            </w:r>
          </w:p>
          <w:p>
            <w:pPr>
              <w:ind w:firstLine="420"/>
              <w:jc w:val="both"/>
            </w:pPr>
            <w:r>
              <w:rPr>
                <w:sz w:val="21"/>
              </w:rPr>
              <w:t>12、图像清晰，数据清晰。</w:t>
            </w:r>
          </w:p>
          <w:p>
            <w:pPr>
              <w:ind w:firstLine="420"/>
              <w:jc w:val="both"/>
            </w:pPr>
          </w:p>
          <w:p>
            <w:pPr>
              <w:ind w:firstLine="420"/>
              <w:jc w:val="both"/>
            </w:pPr>
            <w:r>
              <w:rPr>
                <w:sz w:val="21"/>
              </w:rPr>
              <w:t>缺失数据补录应符合以下要求：</w:t>
            </w:r>
          </w:p>
          <w:p>
            <w:pPr>
              <w:ind w:firstLine="420"/>
              <w:jc w:val="both"/>
            </w:pPr>
            <w:r>
              <w:rPr>
                <w:sz w:val="21"/>
              </w:rPr>
              <w:t>系统成员补录数据的质量评分应不低于</w:t>
            </w:r>
            <w:r>
              <w:rPr>
                <w:sz w:val="21"/>
              </w:rPr>
              <w:t>80分。</w:t>
            </w:r>
          </w:p>
          <w:p/>
          <w:p>
            <w:pPr>
              <w:jc w:val="both"/>
            </w:pPr>
            <w:r>
              <w:rPr>
                <w:b/>
                <w:sz w:val="21"/>
              </w:rPr>
              <w:t>4.其他说明：</w:t>
            </w:r>
          </w:p>
          <w:p>
            <w:pPr>
              <w:ind w:firstLine="420"/>
              <w:jc w:val="both"/>
            </w:pPr>
            <w:r>
              <w:rPr>
                <w:sz w:val="21"/>
              </w:rPr>
              <w:t>该服务按年采购，服务期内需完成商品源数</w:t>
            </w:r>
            <w:r>
              <w:rPr>
                <w:sz w:val="21"/>
              </w:rPr>
              <w:t>2</w:t>
            </w:r>
            <w:r>
              <w:rPr>
                <w:sz w:val="21"/>
              </w:rPr>
              <w:t>000个样品的采集，完成缺失数据补录</w:t>
            </w:r>
            <w:r>
              <w:rPr>
                <w:sz w:val="21"/>
              </w:rPr>
              <w:t>5</w:t>
            </w:r>
            <w:r>
              <w:rPr>
                <w:sz w:val="21"/>
              </w:rPr>
              <w:t>0000条数据。</w:t>
            </w:r>
          </w:p>
          <w:p>
            <w:pPr>
              <w:jc w:val="both"/>
            </w:pPr>
            <w:r>
              <w:rPr>
                <w:sz w:val="21"/>
              </w:rPr>
              <w:t xml:space="preserve">           </w:t>
            </w:r>
          </w:p>
          <w:p>
            <w:pPr>
              <w:jc w:val="both"/>
            </w:pPr>
            <w:r>
              <w:rPr>
                <w:b/>
                <w:sz w:val="21"/>
              </w:rPr>
              <w:t>(八)</w:t>
            </w:r>
            <w:r>
              <w:rPr>
                <w:b/>
                <w:sz w:val="21"/>
              </w:rPr>
              <w:t>条码管理系统维护及功能拓展招标需求</w:t>
            </w:r>
          </w:p>
          <w:p>
            <w:pPr>
              <w:jc w:val="both"/>
            </w:pPr>
            <w:r>
              <w:rPr>
                <w:b/>
                <w:sz w:val="21"/>
              </w:rPr>
              <w:t>1.项目背景</w:t>
            </w:r>
          </w:p>
          <w:p>
            <w:pPr>
              <w:ind w:firstLine="420"/>
              <w:jc w:val="both"/>
            </w:pPr>
            <w:r>
              <w:rPr>
                <w:sz w:val="21"/>
              </w:rPr>
              <w:t>条码管理系统的主要业务功能：</w:t>
            </w:r>
          </w:p>
          <w:p>
            <w:pPr>
              <w:ind w:firstLine="420"/>
              <w:jc w:val="both"/>
            </w:pPr>
            <w:r>
              <w:rPr>
                <w:sz w:val="21"/>
              </w:rPr>
              <w:t>（</w:t>
            </w:r>
            <w:r>
              <w:rPr>
                <w:sz w:val="21"/>
              </w:rPr>
              <w:t>1）用于受理广东省40个条码办事处、代办处的电子版条码制作订单、条码查重及订单的全周期管理，年业务量超200万元；</w:t>
            </w:r>
          </w:p>
          <w:p>
            <w:pPr>
              <w:ind w:firstLine="420"/>
              <w:jc w:val="both"/>
            </w:pPr>
            <w:r>
              <w:rPr>
                <w:sz w:val="21"/>
              </w:rPr>
              <w:t>（</w:t>
            </w:r>
            <w:r>
              <w:rPr>
                <w:sz w:val="21"/>
              </w:rPr>
              <w:t>2）每季度广东省条码注册、续展业务的返款统计和相关清单打印，年业务量超1500万元；</w:t>
            </w:r>
          </w:p>
          <w:p>
            <w:pPr>
              <w:ind w:firstLine="420"/>
              <w:jc w:val="both"/>
            </w:pPr>
            <w:r>
              <w:rPr>
                <w:sz w:val="21"/>
              </w:rPr>
              <w:t>（</w:t>
            </w:r>
            <w:r>
              <w:rPr>
                <w:sz w:val="21"/>
              </w:rPr>
              <w:t>3）每天快递寄出的系统成员证书、条码卡、文件等的流向登记和备查；</w:t>
            </w:r>
          </w:p>
          <w:p>
            <w:pPr>
              <w:ind w:firstLine="420"/>
              <w:jc w:val="both"/>
            </w:pPr>
            <w:r>
              <w:rPr>
                <w:sz w:val="21"/>
              </w:rPr>
              <w:t>（</w:t>
            </w:r>
            <w:r>
              <w:rPr>
                <w:sz w:val="21"/>
              </w:rPr>
              <w:t>4）各条码办事处、代办处年度工作任务完成情况的统计和跟进；</w:t>
            </w:r>
          </w:p>
          <w:p>
            <w:pPr>
              <w:ind w:firstLine="420"/>
              <w:jc w:val="both"/>
            </w:pPr>
            <w:r>
              <w:rPr>
                <w:sz w:val="21"/>
              </w:rPr>
              <w:t>（</w:t>
            </w:r>
            <w:r>
              <w:rPr>
                <w:sz w:val="21"/>
              </w:rPr>
              <w:t>5）为条码代办处提供企业信息查询功能等，属于部门核心业务系统之一。</w:t>
            </w:r>
          </w:p>
          <w:p>
            <w:pPr>
              <w:jc w:val="both"/>
            </w:pPr>
            <w:r>
              <w:rPr>
                <w:b/>
                <w:sz w:val="21"/>
              </w:rPr>
              <w:t>2.项目简要描述：</w:t>
            </w:r>
          </w:p>
          <w:p>
            <w:pPr>
              <w:ind w:firstLine="420"/>
              <w:jc w:val="both"/>
            </w:pPr>
            <w:r>
              <w:rPr>
                <w:sz w:val="21"/>
              </w:rPr>
              <w:t>（</w:t>
            </w:r>
            <w:r>
              <w:rPr>
                <w:sz w:val="21"/>
              </w:rPr>
              <w:t>1）维护内容：主要负责系统的现有功能日常维护、系统异常处理、数据备份、过期数据和日志清洗、安全管理、必要的插件升级、配合定级测评等工作。</w:t>
            </w:r>
          </w:p>
          <w:p>
            <w:pPr>
              <w:ind w:firstLine="420"/>
              <w:jc w:val="both"/>
            </w:pPr>
            <w:r>
              <w:rPr>
                <w:sz w:val="21"/>
              </w:rPr>
              <w:t>（</w:t>
            </w:r>
            <w:r>
              <w:rPr>
                <w:sz w:val="21"/>
              </w:rPr>
              <w:t>2） 拓展内容：增加年度工作任务完成情况统计。</w:t>
            </w:r>
          </w:p>
          <w:p>
            <w:pPr>
              <w:jc w:val="both"/>
            </w:pPr>
            <w:r>
              <w:rPr>
                <w:b/>
                <w:sz w:val="21"/>
              </w:rPr>
              <w:t>3.项目的技术参数要求：</w:t>
            </w:r>
          </w:p>
          <w:p>
            <w:pPr>
              <w:jc w:val="both"/>
            </w:pPr>
            <w:r>
              <w:rPr>
                <w:b/>
                <w:sz w:val="21"/>
              </w:rPr>
              <w:t>维护技术要求：</w:t>
            </w:r>
          </w:p>
          <w:p>
            <w:pPr>
              <w:ind w:firstLine="420"/>
              <w:jc w:val="both"/>
            </w:pPr>
            <w:r>
              <w:rPr>
                <w:sz w:val="21"/>
              </w:rPr>
              <w:t>（</w:t>
            </w:r>
            <w:r>
              <w:rPr>
                <w:sz w:val="21"/>
              </w:rPr>
              <w:t>1）电话服务：在维护期内出现一些中标人可以通过电话排除的故障，中标人的技术服务部门在接到故障信息后应立即以电话热线的方式进行支持，协助采购人的系统管理人员解决所出现的系统故障。</w:t>
            </w:r>
          </w:p>
          <w:p>
            <w:pPr>
              <w:ind w:firstLine="420"/>
              <w:jc w:val="both"/>
            </w:pPr>
            <w:r>
              <w:rPr>
                <w:sz w:val="21"/>
              </w:rPr>
              <w:t>（</w:t>
            </w:r>
            <w:r>
              <w:rPr>
                <w:sz w:val="21"/>
              </w:rPr>
              <w:t>2）现场服务：由于环境、设备、人为等原因，造成系统瘫痪或反应速度超过系统设计的指标等通过电话无法排除的严重故障时，中标人应在采购人发出故障信息通知后4小时内派遣工程师到达现场，协助恢复系统的运行，并在排除故障后 1日内将故障原因、解决办法、处理结果上报给采购人。</w:t>
            </w:r>
          </w:p>
          <w:p>
            <w:pPr>
              <w:ind w:firstLine="420"/>
              <w:jc w:val="both"/>
            </w:pPr>
            <w:r>
              <w:rPr>
                <w:sz w:val="21"/>
              </w:rPr>
              <w:t>（</w:t>
            </w:r>
            <w:r>
              <w:rPr>
                <w:sz w:val="21"/>
              </w:rPr>
              <w:t>3）巡检服务：每季度一次的上门巡检，并形成相关巡检报告。</w:t>
            </w:r>
          </w:p>
          <w:p>
            <w:pPr>
              <w:ind w:firstLine="422"/>
              <w:jc w:val="both"/>
            </w:pPr>
            <w:r>
              <w:rPr>
                <w:b/>
                <w:sz w:val="21"/>
              </w:rPr>
              <w:t>拓展技术要求：</w:t>
            </w:r>
          </w:p>
          <w:p>
            <w:pPr>
              <w:ind w:firstLine="420"/>
              <w:jc w:val="both"/>
            </w:pPr>
            <w:r>
              <w:rPr>
                <w:sz w:val="21"/>
              </w:rPr>
              <w:t>（</w:t>
            </w:r>
            <w:r>
              <w:rPr>
                <w:sz w:val="21"/>
              </w:rPr>
              <w:t>1）在“业务管理”页面新增功能菜单“任务进度”-&gt;“年度工作任务完成情况统计”</w:t>
            </w:r>
          </w:p>
          <w:p>
            <w:pPr>
              <w:ind w:firstLine="420"/>
              <w:jc w:val="both"/>
            </w:pPr>
            <w:r>
              <w:rPr>
                <w:sz w:val="21"/>
              </w:rPr>
              <w:t>查询条件：</w:t>
            </w:r>
          </w:p>
          <w:p>
            <w:pPr>
              <w:ind w:firstLine="420"/>
              <w:jc w:val="both"/>
            </w:pPr>
            <w:r>
              <w:rPr>
                <w:sz w:val="21"/>
              </w:rPr>
              <w:t>年度：如</w:t>
            </w:r>
            <w:r>
              <w:rPr>
                <w:sz w:val="21"/>
              </w:rPr>
              <w:t>2023年 则对应时间段为：2022年12月16日至2023年12月15日</w:t>
            </w:r>
          </w:p>
          <w:p>
            <w:pPr>
              <w:ind w:firstLine="420"/>
              <w:jc w:val="both"/>
            </w:pPr>
            <w:r>
              <w:rPr>
                <w:sz w:val="21"/>
              </w:rPr>
              <w:t>代办：省中心可全选，各代办只能统计所属代办数据</w:t>
            </w:r>
          </w:p>
          <w:p>
            <w:pPr>
              <w:ind w:firstLine="420"/>
              <w:jc w:val="both"/>
            </w:pPr>
            <w:r>
              <w:rPr>
                <w:sz w:val="21"/>
              </w:rPr>
              <w:t>统计结果可以分别打印和导出</w:t>
            </w:r>
            <w:r>
              <w:rPr>
                <w:sz w:val="21"/>
              </w:rPr>
              <w:t>EXCEL</w:t>
            </w:r>
          </w:p>
          <w:p>
            <w:pPr>
              <w:ind w:firstLine="420"/>
              <w:jc w:val="both"/>
            </w:pPr>
            <w:r>
              <w:rPr>
                <w:sz w:val="21"/>
              </w:rPr>
              <w:t>统计结果示例：</w:t>
            </w:r>
          </w:p>
          <w:tbl>
            <w:tblPr>
              <w:tblBorders>
                <w:top w:val="none" w:color="000000" w:sz="4"/>
                <w:left w:val="none" w:color="000000" w:sz="4"/>
                <w:bottom w:val="none" w:color="000000" w:sz="4"/>
                <w:right w:val="none" w:color="000000" w:sz="4"/>
                <w:insideH w:val="none"/>
                <w:insideV w:val="none"/>
              </w:tblBorders>
            </w:tblPr>
            <w:tblGrid>
              <w:gridCol w:w="445"/>
              <w:gridCol w:w="459"/>
              <w:gridCol w:w="580"/>
              <w:gridCol w:w="584"/>
              <w:gridCol w:w="521"/>
              <w:gridCol w:w="576"/>
              <w:gridCol w:w="585"/>
              <w:gridCol w:w="868"/>
              <w:gridCol w:w="490"/>
              <w:gridCol w:w="487"/>
            </w:tblGrid>
            <w:tr>
              <w:tc>
                <w:tcPr>
                  <w:tcW w:type="dxa" w:w="445"/>
                  <w:vMerge w:val="restart"/>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459"/>
                  <w:vMerge w:val="restart"/>
                  <w:tcBorders>
                    <w:top w:val="single" w:color="000000" w:sz="4"/>
                    <w:left w:val="none" w:color="000000" w:sz="4"/>
                    <w:bottom w:val="single" w:color="000000" w:sz="4"/>
                    <w:right w:val="single" w:color="000000" w:sz="4"/>
                  </w:tcBorders>
                  <w:vAlign w:val="top"/>
                </w:tcPr>
                <w:p>
                  <w:pPr>
                    <w:jc w:val="center"/>
                  </w:pPr>
                  <w:r>
                    <w:rPr>
                      <w:color w:val="000000"/>
                      <w:sz w:val="21"/>
                    </w:rPr>
                    <w:t>代办</w:t>
                  </w:r>
                </w:p>
              </w:tc>
              <w:tc>
                <w:tcPr>
                  <w:tcW w:type="dxa" w:w="1164"/>
                  <w:gridSpan w:val="2"/>
                  <w:tcBorders>
                    <w:top w:val="single" w:color="000000" w:sz="4"/>
                    <w:left w:val="none" w:color="000000" w:sz="4"/>
                    <w:bottom w:val="single" w:color="000000" w:sz="4"/>
                    <w:right w:val="single" w:color="000000" w:sz="4"/>
                  </w:tcBorders>
                  <w:vAlign w:val="top"/>
                </w:tcPr>
                <w:p>
                  <w:pPr>
                    <w:jc w:val="center"/>
                  </w:pPr>
                  <w:r>
                    <w:rPr>
                      <w:color w:val="000000"/>
                      <w:sz w:val="21"/>
                    </w:rPr>
                    <w:t>注册</w:t>
                  </w:r>
                </w:p>
              </w:tc>
              <w:tc>
                <w:tcPr>
                  <w:tcW w:type="dxa" w:w="1682"/>
                  <w:gridSpan w:val="3"/>
                  <w:tcBorders>
                    <w:top w:val="single" w:color="000000" w:sz="4"/>
                    <w:left w:val="none" w:color="000000" w:sz="4"/>
                    <w:bottom w:val="single" w:color="000000" w:sz="4"/>
                    <w:right w:val="single" w:color="000000" w:sz="4"/>
                  </w:tcBorders>
                  <w:vAlign w:val="top"/>
                </w:tcPr>
                <w:p>
                  <w:pPr>
                    <w:jc w:val="center"/>
                  </w:pPr>
                  <w:r>
                    <w:rPr>
                      <w:color w:val="000000"/>
                      <w:sz w:val="21"/>
                    </w:rPr>
                    <w:t>续展</w:t>
                  </w:r>
                </w:p>
              </w:tc>
              <w:tc>
                <w:tcPr>
                  <w:tcW w:type="dxa" w:w="868"/>
                  <w:tcBorders>
                    <w:top w:val="single" w:color="000000" w:sz="4"/>
                    <w:left w:val="none" w:color="000000" w:sz="4"/>
                    <w:bottom w:val="single" w:color="000000" w:sz="4"/>
                    <w:right w:val="single" w:color="000000" w:sz="4"/>
                  </w:tcBorders>
                  <w:vAlign w:val="top"/>
                </w:tcPr>
                <w:p>
                  <w:pPr>
                    <w:jc w:val="center"/>
                  </w:pPr>
                  <w:r>
                    <w:rPr>
                      <w:color w:val="000000"/>
                      <w:sz w:val="21"/>
                    </w:rPr>
                    <w:t>条码制作</w:t>
                  </w:r>
                </w:p>
              </w:tc>
              <w:tc>
                <w:tcPr>
                  <w:tcW w:type="dxa" w:w="977"/>
                  <w:gridSpan w:val="2"/>
                  <w:tcBorders>
                    <w:top w:val="single" w:color="000000" w:sz="4"/>
                    <w:left w:val="none" w:color="000000" w:sz="4"/>
                    <w:bottom w:val="single" w:color="000000" w:sz="4"/>
                    <w:right w:val="single" w:color="000000" w:sz="4"/>
                  </w:tcBorders>
                  <w:vAlign w:val="top"/>
                </w:tcPr>
                <w:p>
                  <w:pPr>
                    <w:jc w:val="center"/>
                  </w:pPr>
                  <w:r>
                    <w:rPr>
                      <w:color w:val="000000"/>
                      <w:sz w:val="21"/>
                    </w:rPr>
                    <w:t>条码微站</w:t>
                  </w:r>
                </w:p>
              </w:tc>
            </w:tr>
            <w:tr>
              <w:tc>
                <w:tcPr>
                  <w:tcW w:type="dxa" w:w="445"/>
                  <w:vMerge/>
                  <w:tcBorders>
                    <w:top w:val="single" w:color="000000" w:sz="4"/>
                    <w:left w:val="single" w:color="000000" w:sz="4"/>
                    <w:bottom w:val="single" w:color="000000" w:sz="4"/>
                    <w:right w:val="single" w:color="000000" w:sz="4"/>
                  </w:tcBorders>
                </w:tcPr>
                <w:p/>
              </w:tc>
              <w:tc>
                <w:tcPr>
                  <w:tcW w:type="dxa" w:w="459"/>
                  <w:vMerge/>
                  <w:tcBorders>
                    <w:top w:val="single" w:color="000000" w:sz="4"/>
                    <w:left w:val="none" w:color="000000" w:sz="4"/>
                    <w:bottom w:val="single" w:color="000000" w:sz="4"/>
                    <w:right w:val="single" w:color="000000" w:sz="4"/>
                  </w:tcBorders>
                </w:tcPr>
                <w:p/>
              </w:tc>
              <w:tc>
                <w:tcPr>
                  <w:tcW w:type="dxa" w:w="580"/>
                  <w:tcBorders>
                    <w:top w:val="none" w:color="000000" w:sz="4"/>
                    <w:left w:val="none" w:color="000000" w:sz="4"/>
                    <w:bottom w:val="none" w:color="000000" w:sz="4"/>
                    <w:right w:val="single" w:color="000000" w:sz="4"/>
                  </w:tcBorders>
                  <w:vAlign w:val="top"/>
                </w:tcPr>
                <w:p>
                  <w:pPr>
                    <w:jc w:val="center"/>
                  </w:pPr>
                  <w:r>
                    <w:rPr>
                      <w:color w:val="000000"/>
                      <w:sz w:val="21"/>
                    </w:rPr>
                    <w:t>任务数</w:t>
                  </w:r>
                </w:p>
              </w:tc>
              <w:tc>
                <w:tcPr>
                  <w:tcW w:type="dxa" w:w="584"/>
                  <w:tcBorders>
                    <w:top w:val="none" w:color="000000" w:sz="4"/>
                    <w:left w:val="none" w:color="000000" w:sz="4"/>
                    <w:bottom w:val="none" w:color="000000" w:sz="4"/>
                    <w:right w:val="single" w:color="000000" w:sz="4"/>
                  </w:tcBorders>
                  <w:vAlign w:val="top"/>
                </w:tcPr>
                <w:p>
                  <w:pPr>
                    <w:jc w:val="center"/>
                  </w:pPr>
                  <w:r>
                    <w:rPr>
                      <w:color w:val="000000"/>
                      <w:sz w:val="21"/>
                    </w:rPr>
                    <w:t>完成数</w:t>
                  </w:r>
                </w:p>
              </w:tc>
              <w:tc>
                <w:tcPr>
                  <w:tcW w:type="dxa" w:w="521"/>
                  <w:tcBorders>
                    <w:top w:val="none" w:color="000000" w:sz="4"/>
                    <w:left w:val="none" w:color="000000" w:sz="4"/>
                    <w:bottom w:val="none" w:color="000000" w:sz="4"/>
                    <w:right w:val="single" w:color="000000" w:sz="4"/>
                  </w:tcBorders>
                  <w:vAlign w:val="top"/>
                </w:tcPr>
                <w:p>
                  <w:pPr>
                    <w:jc w:val="center"/>
                  </w:pPr>
                  <w:r>
                    <w:rPr>
                      <w:color w:val="000000"/>
                      <w:sz w:val="21"/>
                    </w:rPr>
                    <w:t>基数</w:t>
                  </w:r>
                </w:p>
              </w:tc>
              <w:tc>
                <w:tcPr>
                  <w:tcW w:type="dxa" w:w="576"/>
                  <w:tcBorders>
                    <w:top w:val="none" w:color="000000" w:sz="4"/>
                    <w:left w:val="none" w:color="000000" w:sz="4"/>
                    <w:bottom w:val="none" w:color="000000" w:sz="4"/>
                    <w:right w:val="single" w:color="000000" w:sz="4"/>
                  </w:tcBorders>
                  <w:vAlign w:val="top"/>
                </w:tcPr>
                <w:p>
                  <w:pPr>
                    <w:jc w:val="center"/>
                  </w:pPr>
                  <w:r>
                    <w:rPr>
                      <w:color w:val="000000"/>
                      <w:sz w:val="21"/>
                    </w:rPr>
                    <w:t>任务数</w:t>
                  </w:r>
                </w:p>
              </w:tc>
              <w:tc>
                <w:tcPr>
                  <w:tcW w:type="dxa" w:w="585"/>
                  <w:tcBorders>
                    <w:top w:val="single" w:color="000000" w:sz="4"/>
                    <w:left w:val="none" w:color="000000" w:sz="4"/>
                    <w:bottom w:val="none" w:color="000000" w:sz="4"/>
                    <w:right w:val="single" w:color="000000" w:sz="4"/>
                  </w:tcBorders>
                  <w:vAlign w:val="top"/>
                </w:tcPr>
                <w:p>
                  <w:pPr>
                    <w:jc w:val="center"/>
                  </w:pPr>
                  <w:r>
                    <w:rPr>
                      <w:color w:val="000000"/>
                      <w:sz w:val="21"/>
                    </w:rPr>
                    <w:t>完成数</w:t>
                  </w:r>
                </w:p>
              </w:tc>
              <w:tc>
                <w:tcPr>
                  <w:tcW w:type="dxa" w:w="868"/>
                  <w:tcBorders>
                    <w:top w:val="single" w:color="000000" w:sz="4"/>
                    <w:left w:val="none" w:color="000000" w:sz="4"/>
                    <w:bottom w:val="single" w:color="000000" w:sz="4"/>
                    <w:right w:val="single" w:color="000000" w:sz="4"/>
                  </w:tcBorders>
                  <w:vAlign w:val="top"/>
                </w:tcPr>
                <w:p>
                  <w:pPr>
                    <w:jc w:val="center"/>
                  </w:pPr>
                  <w:r>
                    <w:rPr>
                      <w:color w:val="000000"/>
                      <w:sz w:val="21"/>
                    </w:rPr>
                    <w:t>完成数</w:t>
                  </w:r>
                </w:p>
              </w:tc>
              <w:tc>
                <w:tcPr>
                  <w:tcW w:type="dxa" w:w="490"/>
                  <w:tcBorders>
                    <w:top w:val="single" w:color="000000" w:sz="4"/>
                    <w:left w:val="none" w:color="000000" w:sz="4"/>
                    <w:bottom w:val="none" w:color="000000" w:sz="4"/>
                    <w:right w:val="single" w:color="000000" w:sz="4"/>
                  </w:tcBorders>
                  <w:vAlign w:val="top"/>
                </w:tcPr>
                <w:p>
                  <w:pPr>
                    <w:jc w:val="center"/>
                  </w:pPr>
                  <w:r>
                    <w:rPr>
                      <w:color w:val="000000"/>
                      <w:sz w:val="21"/>
                    </w:rPr>
                    <w:t>任务</w:t>
                  </w:r>
                </w:p>
              </w:tc>
              <w:tc>
                <w:tcPr>
                  <w:tcW w:type="dxa" w:w="487"/>
                  <w:tcBorders>
                    <w:top w:val="single" w:color="000000" w:sz="4"/>
                    <w:left w:val="none" w:color="000000" w:sz="4"/>
                    <w:bottom w:val="none" w:color="000000" w:sz="4"/>
                    <w:right w:val="single" w:color="000000" w:sz="4"/>
                  </w:tcBorders>
                  <w:vAlign w:val="top"/>
                </w:tcPr>
                <w:p>
                  <w:pPr>
                    <w:jc w:val="center"/>
                  </w:pPr>
                  <w:r>
                    <w:rPr>
                      <w:color w:val="000000"/>
                      <w:sz w:val="21"/>
                    </w:rPr>
                    <w:t>完成</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韶关</w:t>
                  </w:r>
                </w:p>
              </w:tc>
              <w:tc>
                <w:tcPr>
                  <w:tcW w:type="dxa" w:w="580"/>
                  <w:tcBorders>
                    <w:top w:val="single" w:color="000000" w:sz="4"/>
                    <w:left w:val="none" w:color="000000" w:sz="4"/>
                    <w:bottom w:val="single" w:color="000000" w:sz="4"/>
                    <w:right w:val="single" w:color="000000" w:sz="4"/>
                  </w:tcBorders>
                  <w:vAlign w:val="top"/>
                </w:tcPr>
                <w:p>
                  <w:pPr>
                    <w:jc w:val="center"/>
                  </w:pPr>
                </w:p>
              </w:tc>
              <w:tc>
                <w:tcPr>
                  <w:tcW w:type="dxa" w:w="584"/>
                  <w:tcBorders>
                    <w:top w:val="single" w:color="000000" w:sz="4"/>
                    <w:left w:val="none" w:color="000000" w:sz="4"/>
                    <w:bottom w:val="single" w:color="000000" w:sz="4"/>
                    <w:right w:val="single" w:color="000000" w:sz="4"/>
                  </w:tcBorders>
                  <w:vAlign w:val="top"/>
                </w:tcPr>
                <w:p>
                  <w:pPr>
                    <w:jc w:val="center"/>
                  </w:pPr>
                </w:p>
              </w:tc>
              <w:tc>
                <w:tcPr>
                  <w:tcW w:type="dxa" w:w="521"/>
                  <w:tcBorders>
                    <w:top w:val="single" w:color="000000" w:sz="4"/>
                    <w:left w:val="none" w:color="000000" w:sz="4"/>
                    <w:bottom w:val="single" w:color="000000" w:sz="4"/>
                    <w:right w:val="single" w:color="000000" w:sz="4"/>
                  </w:tcBorders>
                  <w:vAlign w:val="top"/>
                </w:tcPr>
                <w:p>
                  <w:pPr>
                    <w:jc w:val="center"/>
                  </w:pPr>
                </w:p>
              </w:tc>
              <w:tc>
                <w:tcPr>
                  <w:tcW w:type="dxa" w:w="576"/>
                  <w:tcBorders>
                    <w:top w:val="single" w:color="000000" w:sz="4"/>
                    <w:left w:val="none" w:color="000000" w:sz="4"/>
                    <w:bottom w:val="single" w:color="000000" w:sz="4"/>
                    <w:right w:val="single" w:color="000000" w:sz="4"/>
                  </w:tcBorders>
                  <w:vAlign w:val="top"/>
                </w:tcPr>
                <w:p>
                  <w:pPr>
                    <w:jc w:val="center"/>
                  </w:pPr>
                </w:p>
              </w:tc>
              <w:tc>
                <w:tcPr>
                  <w:tcW w:type="dxa" w:w="585"/>
                  <w:tcBorders>
                    <w:top w:val="single" w:color="000000" w:sz="4"/>
                    <w:left w:val="none" w:color="000000" w:sz="4"/>
                    <w:bottom w:val="single" w:color="000000" w:sz="4"/>
                    <w:right w:val="single" w:color="000000" w:sz="4"/>
                  </w:tcBorders>
                  <w:vAlign w:val="top"/>
                </w:tcPr>
                <w:p>
                  <w:pPr>
                    <w:jc w:val="center"/>
                  </w:pPr>
                </w:p>
              </w:tc>
              <w:tc>
                <w:tcPr>
                  <w:tcW w:type="dxa" w:w="868"/>
                  <w:tcBorders>
                    <w:top w:val="none" w:color="000000" w:sz="4"/>
                    <w:left w:val="none" w:color="000000" w:sz="4"/>
                    <w:bottom w:val="single" w:color="000000" w:sz="4"/>
                    <w:right w:val="single" w:color="000000" w:sz="4"/>
                  </w:tcBorders>
                  <w:vAlign w:val="top"/>
                </w:tcPr>
                <w:p>
                  <w:pPr>
                    <w:jc w:val="center"/>
                  </w:pPr>
                </w:p>
              </w:tc>
              <w:tc>
                <w:tcPr>
                  <w:tcW w:type="dxa" w:w="490"/>
                  <w:tcBorders>
                    <w:top w:val="single" w:color="000000" w:sz="4"/>
                    <w:left w:val="none" w:color="000000" w:sz="4"/>
                    <w:bottom w:val="single" w:color="000000" w:sz="4"/>
                    <w:right w:val="single" w:color="000000" w:sz="4"/>
                  </w:tcBorders>
                  <w:vAlign w:val="top"/>
                </w:tcPr>
                <w:p>
                  <w:pPr>
                    <w:jc w:val="center"/>
                  </w:pPr>
                </w:p>
              </w:tc>
              <w:tc>
                <w:tcPr>
                  <w:tcW w:type="dxa" w:w="487"/>
                  <w:tcBorders>
                    <w:top w:val="single" w:color="000000" w:sz="4"/>
                    <w:left w:val="none" w:color="000000" w:sz="4"/>
                    <w:bottom w:val="single" w:color="000000" w:sz="4"/>
                    <w:right w:val="single" w:color="000000" w:sz="4"/>
                  </w:tcBorders>
                  <w:vAlign w:val="top"/>
                </w:tcPr>
                <w:p>
                  <w:pPr>
                    <w:jc w:val="center"/>
                  </w:pP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汕头</w:t>
                  </w:r>
                </w:p>
              </w:tc>
              <w:tc>
                <w:tcPr>
                  <w:tcW w:type="dxa" w:w="580"/>
                  <w:tcBorders>
                    <w:top w:val="none" w:color="000000" w:sz="4"/>
                    <w:left w:val="none" w:color="000000" w:sz="4"/>
                    <w:bottom w:val="single" w:color="000000" w:sz="4"/>
                    <w:right w:val="single" w:color="000000" w:sz="4"/>
                  </w:tcBorders>
                  <w:vAlign w:val="top"/>
                </w:tcPr>
                <w:p>
                  <w:pPr>
                    <w:jc w:val="center"/>
                  </w:pPr>
                </w:p>
              </w:tc>
              <w:tc>
                <w:tcPr>
                  <w:tcW w:type="dxa" w:w="584"/>
                  <w:tcBorders>
                    <w:top w:val="none" w:color="000000" w:sz="4"/>
                    <w:left w:val="none" w:color="000000" w:sz="4"/>
                    <w:bottom w:val="single" w:color="000000" w:sz="4"/>
                    <w:right w:val="single" w:color="000000" w:sz="4"/>
                  </w:tcBorders>
                  <w:vAlign w:val="top"/>
                </w:tcPr>
                <w:p>
                  <w:pPr>
                    <w:jc w:val="center"/>
                  </w:pPr>
                </w:p>
              </w:tc>
              <w:tc>
                <w:tcPr>
                  <w:tcW w:type="dxa" w:w="521"/>
                  <w:tcBorders>
                    <w:top w:val="none" w:color="000000" w:sz="4"/>
                    <w:left w:val="none" w:color="000000" w:sz="4"/>
                    <w:bottom w:val="single" w:color="000000" w:sz="4"/>
                    <w:right w:val="single" w:color="000000" w:sz="4"/>
                  </w:tcBorders>
                  <w:vAlign w:val="top"/>
                </w:tcPr>
                <w:p>
                  <w:pPr>
                    <w:jc w:val="center"/>
                  </w:pPr>
                </w:p>
              </w:tc>
              <w:tc>
                <w:tcPr>
                  <w:tcW w:type="dxa" w:w="576"/>
                  <w:tcBorders>
                    <w:top w:val="none" w:color="000000" w:sz="4"/>
                    <w:left w:val="none" w:color="000000" w:sz="4"/>
                    <w:bottom w:val="single" w:color="000000" w:sz="4"/>
                    <w:right w:val="single" w:color="000000" w:sz="4"/>
                  </w:tcBorders>
                  <w:vAlign w:val="top"/>
                </w:tcPr>
                <w:p>
                  <w:pPr>
                    <w:jc w:val="center"/>
                  </w:pPr>
                </w:p>
              </w:tc>
              <w:tc>
                <w:tcPr>
                  <w:tcW w:type="dxa" w:w="585"/>
                  <w:tcBorders>
                    <w:top w:val="none" w:color="000000" w:sz="4"/>
                    <w:left w:val="none" w:color="000000" w:sz="4"/>
                    <w:bottom w:val="single" w:color="000000" w:sz="4"/>
                    <w:right w:val="single" w:color="000000" w:sz="4"/>
                  </w:tcBorders>
                  <w:vAlign w:val="top"/>
                </w:tcPr>
                <w:p>
                  <w:pPr>
                    <w:jc w:val="center"/>
                  </w:pPr>
                </w:p>
              </w:tc>
              <w:tc>
                <w:tcPr>
                  <w:tcW w:type="dxa" w:w="868"/>
                  <w:tcBorders>
                    <w:top w:val="none" w:color="000000" w:sz="4"/>
                    <w:left w:val="none" w:color="000000" w:sz="4"/>
                    <w:bottom w:val="single" w:color="000000" w:sz="4"/>
                    <w:right w:val="single" w:color="000000" w:sz="4"/>
                  </w:tcBorders>
                  <w:vAlign w:val="top"/>
                </w:tcPr>
                <w:p>
                  <w:pPr>
                    <w:jc w:val="center"/>
                  </w:pPr>
                </w:p>
              </w:tc>
              <w:tc>
                <w:tcPr>
                  <w:tcW w:type="dxa" w:w="490"/>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459"/>
                  <w:tcBorders>
                    <w:top w:val="none" w:color="000000" w:sz="4"/>
                    <w:left w:val="none" w:color="000000" w:sz="4"/>
                    <w:bottom w:val="single" w:color="000000" w:sz="4"/>
                    <w:right w:val="single" w:color="000000" w:sz="4"/>
                  </w:tcBorders>
                  <w:vAlign w:val="top"/>
                </w:tcPr>
                <w:p>
                  <w:pPr>
                    <w:jc w:val="center"/>
                  </w:pPr>
                  <w:r>
                    <w:rPr>
                      <w:color w:val="000000"/>
                      <w:sz w:val="21"/>
                    </w:rPr>
                    <w:t>佛山</w:t>
                  </w:r>
                </w:p>
              </w:tc>
              <w:tc>
                <w:tcPr>
                  <w:tcW w:type="dxa" w:w="580"/>
                  <w:tcBorders>
                    <w:top w:val="none" w:color="000000" w:sz="4"/>
                    <w:left w:val="none" w:color="000000" w:sz="4"/>
                    <w:bottom w:val="single" w:color="000000" w:sz="4"/>
                    <w:right w:val="single" w:color="000000" w:sz="4"/>
                  </w:tcBorders>
                  <w:vAlign w:val="top"/>
                </w:tcPr>
                <w:p>
                  <w:pPr>
                    <w:jc w:val="center"/>
                  </w:pPr>
                </w:p>
              </w:tc>
              <w:tc>
                <w:tcPr>
                  <w:tcW w:type="dxa" w:w="584"/>
                  <w:tcBorders>
                    <w:top w:val="none" w:color="000000" w:sz="4"/>
                    <w:left w:val="none" w:color="000000" w:sz="4"/>
                    <w:bottom w:val="single" w:color="000000" w:sz="4"/>
                    <w:right w:val="single" w:color="000000" w:sz="4"/>
                  </w:tcBorders>
                  <w:vAlign w:val="top"/>
                </w:tcPr>
                <w:p>
                  <w:pPr>
                    <w:jc w:val="center"/>
                  </w:pPr>
                </w:p>
              </w:tc>
              <w:tc>
                <w:tcPr>
                  <w:tcW w:type="dxa" w:w="521"/>
                  <w:tcBorders>
                    <w:top w:val="none" w:color="000000" w:sz="4"/>
                    <w:left w:val="none" w:color="000000" w:sz="4"/>
                    <w:bottom w:val="single" w:color="000000" w:sz="4"/>
                    <w:right w:val="single" w:color="000000" w:sz="4"/>
                  </w:tcBorders>
                  <w:vAlign w:val="top"/>
                </w:tcPr>
                <w:p>
                  <w:pPr>
                    <w:jc w:val="center"/>
                  </w:pPr>
                </w:p>
              </w:tc>
              <w:tc>
                <w:tcPr>
                  <w:tcW w:type="dxa" w:w="576"/>
                  <w:tcBorders>
                    <w:top w:val="none" w:color="000000" w:sz="4"/>
                    <w:left w:val="none" w:color="000000" w:sz="4"/>
                    <w:bottom w:val="single" w:color="000000" w:sz="4"/>
                    <w:right w:val="single" w:color="000000" w:sz="4"/>
                  </w:tcBorders>
                  <w:vAlign w:val="top"/>
                </w:tcPr>
                <w:p>
                  <w:pPr>
                    <w:jc w:val="center"/>
                  </w:pPr>
                </w:p>
              </w:tc>
              <w:tc>
                <w:tcPr>
                  <w:tcW w:type="dxa" w:w="585"/>
                  <w:tcBorders>
                    <w:top w:val="none" w:color="000000" w:sz="4"/>
                    <w:left w:val="none" w:color="000000" w:sz="4"/>
                    <w:bottom w:val="single" w:color="000000" w:sz="4"/>
                    <w:right w:val="single" w:color="000000" w:sz="4"/>
                  </w:tcBorders>
                  <w:vAlign w:val="top"/>
                </w:tcPr>
                <w:p>
                  <w:pPr>
                    <w:jc w:val="center"/>
                  </w:pPr>
                </w:p>
              </w:tc>
              <w:tc>
                <w:tcPr>
                  <w:tcW w:type="dxa" w:w="868"/>
                  <w:tcBorders>
                    <w:top w:val="none" w:color="000000" w:sz="4"/>
                    <w:left w:val="none" w:color="000000" w:sz="4"/>
                    <w:bottom w:val="single" w:color="000000" w:sz="4"/>
                    <w:right w:val="single" w:color="000000" w:sz="4"/>
                  </w:tcBorders>
                  <w:vAlign w:val="top"/>
                </w:tcPr>
                <w:p>
                  <w:pPr>
                    <w:jc w:val="center"/>
                  </w:pPr>
                </w:p>
              </w:tc>
              <w:tc>
                <w:tcPr>
                  <w:tcW w:type="dxa" w:w="490"/>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p>
              </w:tc>
            </w:tr>
          </w:tbl>
          <w:p>
            <w:pPr>
              <w:jc w:val="both"/>
            </w:pPr>
          </w:p>
          <w:p>
            <w:pPr>
              <w:ind w:firstLine="420"/>
              <w:jc w:val="both"/>
            </w:pPr>
            <w:r>
              <w:rPr>
                <w:sz w:val="21"/>
              </w:rPr>
              <w:t>（</w:t>
            </w:r>
            <w:r>
              <w:rPr>
                <w:sz w:val="21"/>
              </w:rPr>
              <w:t>2） 注册任务数及完成数可直接参照原有功能（见下图）</w:t>
            </w:r>
          </w:p>
          <w:p>
            <w:pPr>
              <w:ind w:firstLine="420"/>
              <w:jc w:val="both"/>
            </w:pPr>
            <w:r>
              <w:drawing>
                <wp:inline distT="0" distR="0" distB="0" distL="0">
                  <wp:extent cx="3554729" cy="114419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1144198"/>
                          </a:xfrm>
                          <a:prstGeom prst="rect">
                            <a:avLst/>
                          </a:prstGeom>
                        </pic:spPr>
                      </pic:pic>
                    </a:graphicData>
                  </a:graphic>
                </wp:inline>
              </w:drawing>
            </w:r>
          </w:p>
          <w:p>
            <w:pPr>
              <w:ind w:firstLine="420"/>
              <w:jc w:val="both"/>
            </w:pPr>
            <w:r>
              <w:rPr>
                <w:sz w:val="21"/>
              </w:rPr>
              <w:t>（</w:t>
            </w:r>
            <w:r>
              <w:rPr>
                <w:sz w:val="21"/>
              </w:rPr>
              <w:t>3）续展任务数及完成数可直接参照原有功能（见下图）</w:t>
            </w:r>
          </w:p>
          <w:p>
            <w:pPr>
              <w:ind w:firstLine="420"/>
              <w:jc w:val="both"/>
            </w:pPr>
            <w:r>
              <w:drawing>
                <wp:inline distT="0" distR="0" distB="0" distL="0">
                  <wp:extent cx="3554729" cy="115705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1157054"/>
                          </a:xfrm>
                          <a:prstGeom prst="rect">
                            <a:avLst/>
                          </a:prstGeom>
                        </pic:spPr>
                      </pic:pic>
                    </a:graphicData>
                  </a:graphic>
                </wp:inline>
              </w:drawing>
            </w:r>
          </w:p>
          <w:p>
            <w:pPr>
              <w:ind w:firstLine="420"/>
              <w:jc w:val="both"/>
            </w:pPr>
            <w:r>
              <w:drawing>
                <wp:inline distT="0" distR="0" distB="0" distL="0">
                  <wp:extent cx="3554729" cy="130896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3554729" cy="1308961"/>
                          </a:xfrm>
                          <a:prstGeom prst="rect">
                            <a:avLst/>
                          </a:prstGeom>
                        </pic:spPr>
                      </pic:pic>
                    </a:graphicData>
                  </a:graphic>
                </wp:inline>
              </w:drawing>
            </w:r>
          </w:p>
          <w:p>
            <w:pPr>
              <w:ind w:firstLine="420"/>
              <w:jc w:val="both"/>
            </w:pPr>
            <w:r>
              <w:rPr>
                <w:sz w:val="21"/>
              </w:rPr>
              <w:t>（</w:t>
            </w:r>
            <w:r>
              <w:rPr>
                <w:sz w:val="21"/>
              </w:rPr>
              <w:t>4）条码制作完成数可直接参照原有功能（见下图）</w:t>
            </w:r>
          </w:p>
          <w:p>
            <w:pPr>
              <w:ind w:firstLine="420"/>
              <w:jc w:val="both"/>
            </w:pPr>
            <w:r>
              <w:drawing>
                <wp:inline distT="0" distR="0" distB="0" distL="0">
                  <wp:extent cx="3554729" cy="1616952"/>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3554729" cy="1616952"/>
                          </a:xfrm>
                          <a:prstGeom prst="rect">
                            <a:avLst/>
                          </a:prstGeom>
                        </pic:spPr>
                      </pic:pic>
                    </a:graphicData>
                  </a:graphic>
                </wp:inline>
              </w:drawing>
            </w:r>
          </w:p>
          <w:p>
            <w:pPr>
              <w:ind w:firstLine="420"/>
              <w:jc w:val="both"/>
            </w:pPr>
            <w:r>
              <w:rPr>
                <w:sz w:val="21"/>
              </w:rPr>
              <w:t>（</w:t>
            </w:r>
            <w:r>
              <w:rPr>
                <w:sz w:val="21"/>
              </w:rPr>
              <w:t>5）条码微站完成数可直接参照原有功能（见下图）</w:t>
            </w:r>
          </w:p>
          <w:p>
            <w:pPr>
              <w:ind w:firstLine="420"/>
              <w:jc w:val="both"/>
            </w:pPr>
            <w:r>
              <w:drawing>
                <wp:inline distT="0" distR="0" distB="0" distL="0">
                  <wp:extent cx="3554729" cy="1572037"/>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3554729" cy="1572037"/>
                          </a:xfrm>
                          <a:prstGeom prst="rect">
                            <a:avLst/>
                          </a:prstGeom>
                        </pic:spPr>
                      </pic:pic>
                    </a:graphicData>
                  </a:graphic>
                </wp:inline>
              </w:drawing>
            </w:r>
          </w:p>
          <w:p>
            <w:pPr>
              <w:jc w:val="both"/>
            </w:pPr>
            <w:r>
              <w:rPr>
                <w:b/>
                <w:sz w:val="21"/>
              </w:rPr>
              <w:t>(九)</w:t>
            </w:r>
            <w:r>
              <w:rPr>
                <w:b/>
                <w:sz w:val="21"/>
              </w:rPr>
              <w:t>湿地领域标准化技术咨询服务</w:t>
            </w:r>
          </w:p>
          <w:p>
            <w:pPr>
              <w:jc w:val="both"/>
            </w:pPr>
            <w:r>
              <w:rPr>
                <w:b/>
                <w:color w:val="000000"/>
                <w:sz w:val="21"/>
              </w:rPr>
              <w:t>1.项目背景</w:t>
            </w:r>
          </w:p>
          <w:p>
            <w:pPr>
              <w:ind w:firstLine="420"/>
              <w:jc w:val="both"/>
            </w:pPr>
            <w:r>
              <w:rPr>
                <w:sz w:val="21"/>
              </w:rPr>
              <w:t>湿地是全球重要生态系统之一，具有涵养水源、净化水质、维护生物多样性、蓄洪防旱、调节气候和固碳等重要的生态功能，对维护我国生态、粮食和水资源安全具有重要作用。《国家标准化发展纲要》提出持续优化生态系统建设和保护标准，加快研究制定生态保护修复标准。《广东省生态文明建设</w:t>
            </w:r>
            <w:r>
              <w:rPr>
                <w:sz w:val="21"/>
              </w:rPr>
              <w:t>“十四五”规划》提出强化湿地保护和修复，湿地保护率到达52%。随着国家 “互联网+”、大数据和《“十四五”国家信息化规划》等一系列战略规划的提出，大数据技术与生态文明建设的深度融合将不断创造出新的价值，对加快绿色智慧生态文明建设行动，协同推进经济高质量发展和生态环境高水平保护具有重大而深远的影响。</w:t>
            </w:r>
          </w:p>
          <w:p>
            <w:pPr>
              <w:jc w:val="both"/>
            </w:pPr>
            <w:r>
              <w:rPr>
                <w:b/>
                <w:color w:val="000000"/>
                <w:sz w:val="21"/>
              </w:rPr>
              <w:t>2.项目简要描述：</w:t>
            </w:r>
          </w:p>
          <w:p>
            <w:pPr>
              <w:ind w:firstLine="420"/>
              <w:jc w:val="both"/>
            </w:pPr>
            <w:r>
              <w:rPr>
                <w:sz w:val="21"/>
              </w:rPr>
              <w:t>通过研制湿地领域关键标准，推进湿地保护领域数字转型发展，提升湿地保护的技术水平。</w:t>
            </w:r>
          </w:p>
          <w:p>
            <w:pPr>
              <w:jc w:val="both"/>
            </w:pPr>
            <w:r>
              <w:rPr>
                <w:b/>
                <w:color w:val="000000"/>
                <w:sz w:val="21"/>
              </w:rPr>
              <w:t>3.项目的技术参数或要求：</w:t>
            </w:r>
          </w:p>
          <w:p>
            <w:pPr>
              <w:ind w:firstLine="420"/>
              <w:jc w:val="both"/>
            </w:pPr>
            <w:r>
              <w:rPr>
                <w:sz w:val="21"/>
              </w:rPr>
              <w:t>结合广东省生态文明建设需求和采购人研究基础优势，深入推动标准化实施，提供</w:t>
            </w:r>
            <w:r>
              <w:rPr>
                <w:sz w:val="21"/>
              </w:rPr>
              <w:t>湿地领域标准文本草案</w:t>
            </w:r>
            <w:r>
              <w:rPr>
                <w:sz w:val="21"/>
              </w:rPr>
              <w:t>4份。</w:t>
            </w:r>
          </w:p>
          <w:p>
            <w:pPr>
              <w:jc w:val="both"/>
            </w:pPr>
            <w:r>
              <w:rPr>
                <w:b/>
                <w:sz w:val="21"/>
              </w:rPr>
              <w:t>(十)</w:t>
            </w:r>
            <w:r>
              <w:rPr>
                <w:b/>
                <w:sz w:val="21"/>
              </w:rPr>
              <w:t>粤港澳大湾区标准信息公共服务平台安全优化和升级</w:t>
            </w:r>
          </w:p>
          <w:p>
            <w:pPr>
              <w:jc w:val="both"/>
            </w:pPr>
            <w:r>
              <w:rPr>
                <w:b/>
                <w:color w:val="000000"/>
                <w:sz w:val="21"/>
              </w:rPr>
              <w:t>1.项目背景</w:t>
            </w:r>
          </w:p>
          <w:p>
            <w:pPr>
              <w:ind w:firstLine="420"/>
              <w:jc w:val="both"/>
            </w:pPr>
            <w:r>
              <w:rPr>
                <w:sz w:val="21"/>
              </w:rPr>
              <w:t>为适应信息安全和网络安全的新形势，贯彻落实《中华人民共和国数据安全法》《中华人民共和国网络安全法》等相关法律规定，保护个人信息和数据安全，保障公民、法人的合法权益，以及维护国家安全和社会公共利益，通过信息安全等级保护测评，将有助于发现网站在信息安全防护方面的薄弱环节，为制定相应的整改和提升方案提供依据。同时，根据测评结果和法律法规的要求，进行系统升级将进一步提升网站的安全性能和信息安全防护水平，确保网站能够抵御各种潜在的网络安全风险。</w:t>
            </w:r>
          </w:p>
          <w:p>
            <w:pPr>
              <w:ind w:firstLine="420"/>
              <w:jc w:val="both"/>
            </w:pPr>
            <w:r>
              <w:rPr>
                <w:sz w:val="21"/>
              </w:rPr>
              <w:t>目前粤港澳大湾区标准信息公共服务平台的标准广场和标准业务等模块存在由用户上传材料文件、标准新闻模块存在采集网络新闻的情况，虽然有审核环节，但可能存在审核不严而导致发布的信息中包含负面信息，影响平台的正常运营。另外，本平台涉及在粤港澳地区建立跨境信息系统安全合作机制可能会受到地缘因素和文化差异等的影响，对信息安全认识不同，潜在不安全信息传播风险，需加强对跨境数据流通和安全控制，需要较大的投入和合作力度，对于系统的安全防护体系建设、运维和安全事件的应对可能会带来一定的挑战。</w:t>
            </w:r>
          </w:p>
          <w:p>
            <w:pPr>
              <w:jc w:val="both"/>
            </w:pPr>
            <w:r>
              <w:rPr>
                <w:b/>
                <w:color w:val="000000"/>
                <w:sz w:val="21"/>
              </w:rPr>
              <w:t>2.项目的技术参数或要求：</w:t>
            </w:r>
          </w:p>
          <w:p>
            <w:pPr>
              <w:ind w:firstLine="420"/>
              <w:jc w:val="both"/>
            </w:pPr>
            <w:r>
              <w:rPr>
                <w:sz w:val="21"/>
              </w:rPr>
              <w:t>（</w:t>
            </w:r>
            <w:r>
              <w:rPr>
                <w:sz w:val="21"/>
              </w:rPr>
              <w:t>1）组织等保测评和完成对测评结果中软件系统的整改</w:t>
            </w:r>
          </w:p>
          <w:p>
            <w:pPr>
              <w:ind w:firstLine="420"/>
              <w:jc w:val="both"/>
            </w:pPr>
            <w:r>
              <w:rPr>
                <w:sz w:val="21"/>
              </w:rPr>
              <w:t>组织对粤港澳大湾区标准信息公共服务平台进行</w:t>
            </w:r>
            <w:r>
              <w:rPr>
                <w:sz w:val="21"/>
              </w:rPr>
              <w:t>信息安全等级保护</w:t>
            </w:r>
            <w:r>
              <w:rPr>
                <w:sz w:val="21"/>
              </w:rPr>
              <w:t>测评，并依据测评结果对平台软件功能进行细致调整和优化，以加强安全性、减少潜在安全漏洞、降低系统受到攻击的风险；</w:t>
            </w:r>
          </w:p>
          <w:p>
            <w:pPr>
              <w:ind w:firstLine="420"/>
              <w:jc w:val="both"/>
            </w:pPr>
            <w:r>
              <w:rPr>
                <w:sz w:val="21"/>
              </w:rPr>
              <w:t>（</w:t>
            </w:r>
            <w:r>
              <w:rPr>
                <w:sz w:val="21"/>
              </w:rPr>
              <w:t>2）安全加固</w:t>
            </w:r>
          </w:p>
          <w:p>
            <w:pPr>
              <w:ind w:firstLine="420"/>
              <w:jc w:val="both"/>
            </w:pPr>
            <w:r>
              <w:rPr>
                <w:sz w:val="21"/>
              </w:rPr>
              <w:t>优化标准广场、标准业务和标准新闻等板块资料传递的安全机制，提升港澳方在平台的参与机制。</w:t>
            </w:r>
          </w:p>
          <w:p>
            <w:pPr>
              <w:ind w:firstLine="420"/>
              <w:jc w:val="both"/>
            </w:pPr>
            <w:r>
              <w:rPr>
                <w:sz w:val="21"/>
              </w:rPr>
              <w:t>（</w:t>
            </w:r>
            <w:r>
              <w:rPr>
                <w:sz w:val="21"/>
              </w:rPr>
              <w:t>3）优化用户体验</w:t>
            </w:r>
          </w:p>
          <w:p>
            <w:pPr>
              <w:ind w:firstLine="420"/>
              <w:jc w:val="both"/>
            </w:pPr>
            <w:r>
              <w:rPr>
                <w:sz w:val="21"/>
              </w:rPr>
              <w:t>对人才培训报名表和流程、标准业务、标准数据导入模板等进行升级优化，提升用户整体体验，并持续关注技术和用户需求的发展，使用户能够更便捷、高效地使用平台功能。</w:t>
            </w:r>
          </w:p>
          <w:p>
            <w:pPr>
              <w:jc w:val="both"/>
            </w:pPr>
            <w:r>
              <w:rPr>
                <w:b/>
                <w:sz w:val="21"/>
              </w:rPr>
              <w:t>(十一)</w:t>
            </w:r>
            <w:r>
              <w:rPr>
                <w:b/>
                <w:sz w:val="21"/>
              </w:rPr>
              <w:t>标准研制及应用示范</w:t>
            </w:r>
          </w:p>
          <w:p>
            <w:pPr>
              <w:jc w:val="both"/>
            </w:pPr>
            <w:r>
              <w:rPr>
                <w:b/>
                <w:color w:val="000000"/>
                <w:sz w:val="21"/>
              </w:rPr>
              <w:t>1.项目背景</w:t>
            </w:r>
          </w:p>
          <w:p>
            <w:pPr>
              <w:ind w:firstLine="420"/>
              <w:jc w:val="both"/>
            </w:pPr>
            <w:r>
              <w:rPr>
                <w:sz w:val="21"/>
              </w:rPr>
              <w:t>标准是经济活动和社会发展的技术支撑，是国家基础性制度的重要方面。然而，随着我国经济和社会快速发展，标准化发展相对其他国家滞后。主要原因是前期投入力量不足，标准化基础工作薄弱、标准化水平较低、国际标准和国外先进标准采用率低以及企业在标准制定中的参与度不够等，导致标准化发展受阻。为了促进我国质量水平提升，国家和各部委出台了一系列举措，其中推进标准化进程是核心要素。</w:t>
            </w:r>
          </w:p>
          <w:p>
            <w:pPr>
              <w:ind w:firstLine="420"/>
              <w:jc w:val="both"/>
            </w:pPr>
            <w:r>
              <w:rPr>
                <w:sz w:val="21"/>
              </w:rPr>
              <w:t>2021年10月，中共中央、国务院印发了《国家标准化发展纲要》，指出了到2025年的发展目标是全域标准化深度发展，其中农业、工业、服务业和社会事业等领域标准全覆盖，这表明标准研制具有重要意义。因此，本项目围绕标准研制及应用示范，通过制定标准和实施标准，将先进的科学技术和成熟的经验推广到农户、企业，提升标准化水平，从而推进标准化战略的实施。资金来源于实施标准化战略专项资金“地方标准技术支撑项目”。</w:t>
            </w:r>
          </w:p>
          <w:p>
            <w:pPr>
              <w:jc w:val="both"/>
            </w:pPr>
            <w:r>
              <w:rPr>
                <w:b/>
                <w:color w:val="000000"/>
                <w:sz w:val="21"/>
              </w:rPr>
              <w:t>2.项目简要描述：</w:t>
            </w:r>
          </w:p>
          <w:p>
            <w:pPr>
              <w:ind w:firstLine="420"/>
              <w:jc w:val="both"/>
            </w:pPr>
            <w:r>
              <w:rPr>
                <w:sz w:val="21"/>
              </w:rPr>
              <w:t>项目核心任务是进行标准研制和应用示范，旨在总结各类试点示范项目的实践经验、生产过程的关键控制点，明确产品技术要求等，并在标准化活动框架内，汇聚各方的智慧和资源，将科技创新成果及经验转化成标准。通过推动标准普及和应用，有力助推标准化发展，进而全面推进标准化战略的实施。</w:t>
            </w:r>
          </w:p>
          <w:p>
            <w:pPr>
              <w:jc w:val="both"/>
            </w:pPr>
            <w:r>
              <w:rPr>
                <w:b/>
                <w:sz w:val="21"/>
              </w:rPr>
              <w:t>3.项目的技术参数或要求：</w:t>
            </w:r>
          </w:p>
          <w:p>
            <w:pPr>
              <w:ind w:firstLine="420"/>
              <w:jc w:val="both"/>
            </w:pPr>
            <w:r>
              <w:rPr>
                <w:sz w:val="21"/>
              </w:rPr>
              <w:t>进行资料文献调研和实地走访，完成</w:t>
            </w:r>
            <w:r>
              <w:rPr>
                <w:sz w:val="21"/>
              </w:rPr>
              <w:t>2至3项标准研制，并开展1至2场培训、行业交流会等推广活动。</w:t>
            </w:r>
          </w:p>
          <w:p>
            <w:pPr>
              <w:jc w:val="both"/>
            </w:pPr>
            <w:r>
              <w:rPr>
                <w:b/>
                <w:sz w:val="21"/>
              </w:rPr>
              <w:t>(十二)</w:t>
            </w:r>
            <w:r>
              <w:rPr>
                <w:b/>
                <w:sz w:val="21"/>
              </w:rPr>
              <w:t>科普展览标准化研究</w:t>
            </w:r>
          </w:p>
          <w:p>
            <w:pPr>
              <w:jc w:val="both"/>
            </w:pPr>
            <w:r>
              <w:rPr>
                <w:b/>
                <w:color w:val="000000"/>
                <w:sz w:val="21"/>
              </w:rPr>
              <w:t>1.项目背景</w:t>
            </w:r>
          </w:p>
          <w:p>
            <w:pPr>
              <w:ind w:firstLine="420"/>
              <w:jc w:val="both"/>
            </w:pPr>
            <w:r>
              <w:rPr>
                <w:sz w:val="21"/>
              </w:rPr>
              <w:t>财政专项</w:t>
            </w:r>
            <w:r>
              <w:rPr>
                <w:sz w:val="21"/>
              </w:rPr>
              <w:t>:地方标准化技术服务，科普展览标准化研究及应用</w:t>
            </w:r>
          </w:p>
          <w:p>
            <w:pPr>
              <w:jc w:val="both"/>
            </w:pPr>
          </w:p>
          <w:p>
            <w:pPr>
              <w:jc w:val="both"/>
            </w:pPr>
            <w:r>
              <w:rPr>
                <w:b/>
                <w:color w:val="000000"/>
                <w:sz w:val="21"/>
              </w:rPr>
              <w:t>2.项目简要描述：</w:t>
            </w:r>
          </w:p>
          <w:p>
            <w:pPr>
              <w:ind w:firstLine="420"/>
              <w:jc w:val="both"/>
            </w:pPr>
            <w:r>
              <w:rPr>
                <w:sz w:val="21"/>
              </w:rPr>
              <w:t>对科普展览的设计、应用等的相关内容进行标准化研究，针对该领域标准化的空白处，编制相关标准草案。</w:t>
            </w:r>
          </w:p>
          <w:p>
            <w:pPr>
              <w:jc w:val="both"/>
            </w:pPr>
            <w:r>
              <w:rPr>
                <w:b/>
                <w:color w:val="000000"/>
                <w:sz w:val="21"/>
              </w:rPr>
              <w:t>3.项目的技术参数或要求：</w:t>
            </w:r>
          </w:p>
          <w:p>
            <w:pPr>
              <w:ind w:firstLine="420"/>
              <w:jc w:val="both"/>
            </w:pPr>
            <w:r>
              <w:rPr>
                <w:sz w:val="21"/>
              </w:rPr>
              <w:t>形成标准草案</w:t>
            </w:r>
            <w:r>
              <w:rPr>
                <w:sz w:val="21"/>
              </w:rPr>
              <w:t>2份。</w:t>
            </w:r>
          </w:p>
          <w:p>
            <w:pPr>
              <w:jc w:val="both"/>
            </w:pPr>
            <w:r>
              <w:rPr>
                <w:b/>
                <w:sz w:val="21"/>
              </w:rPr>
              <w:t>(十三)</w:t>
            </w:r>
            <w:r>
              <w:rPr>
                <w:b/>
                <w:sz w:val="21"/>
              </w:rPr>
              <w:t>国家技术标准创新基地（华南中心）</w:t>
            </w:r>
            <w:r>
              <w:rPr>
                <w:b/>
                <w:sz w:val="21"/>
              </w:rPr>
              <w:t>2024年建设及运营</w:t>
            </w:r>
          </w:p>
          <w:p>
            <w:pPr>
              <w:jc w:val="both"/>
            </w:pPr>
            <w:r>
              <w:rPr>
                <w:b/>
                <w:color w:val="000000"/>
                <w:sz w:val="21"/>
              </w:rPr>
              <w:t>1.项目背景</w:t>
            </w:r>
          </w:p>
          <w:p>
            <w:pPr>
              <w:ind w:firstLine="420"/>
              <w:jc w:val="both"/>
            </w:pPr>
            <w:r>
              <w:rPr>
                <w:sz w:val="21"/>
              </w:rPr>
              <w:t>财政专项</w:t>
            </w:r>
            <w:r>
              <w:rPr>
                <w:sz w:val="21"/>
              </w:rPr>
              <w:t>:深入实施标准化战略工作技术支撑，国家技术标准创新基地（华南中心）2024年建设及运营</w:t>
            </w:r>
          </w:p>
          <w:p>
            <w:pPr>
              <w:jc w:val="both"/>
            </w:pPr>
            <w:r>
              <w:rPr>
                <w:b/>
                <w:color w:val="000000"/>
                <w:sz w:val="21"/>
              </w:rPr>
              <w:t>2.项目简要描述：</w:t>
            </w:r>
          </w:p>
          <w:p>
            <w:pPr>
              <w:ind w:firstLine="420"/>
              <w:jc w:val="both"/>
            </w:pPr>
            <w:r>
              <w:rPr>
                <w:sz w:val="21"/>
              </w:rPr>
              <w:t>依托国家技术标准创新基地（华南中心）的技术平台，为企业、单位提供标准化公共服务，开展标准技术合作交流会，提供标准化技术服务支撑。</w:t>
            </w:r>
          </w:p>
          <w:p>
            <w:pPr>
              <w:jc w:val="both"/>
            </w:pPr>
            <w:r>
              <w:rPr>
                <w:b/>
                <w:color w:val="000000"/>
                <w:sz w:val="21"/>
              </w:rPr>
              <w:t>3.项目的技术参数或要求：</w:t>
            </w:r>
          </w:p>
          <w:p>
            <w:pPr>
              <w:ind w:firstLine="420"/>
              <w:jc w:val="both"/>
            </w:pPr>
            <w:r>
              <w:rPr>
                <w:sz w:val="21"/>
              </w:rPr>
              <w:t>为不少于</w:t>
            </w:r>
            <w:r>
              <w:rPr>
                <w:sz w:val="21"/>
              </w:rPr>
              <w:t>10家企业、单位提供标准化公共服务，召开至少1场标准技术合作交流会，并留存相关材料。</w:t>
            </w:r>
          </w:p>
          <w:p>
            <w:pPr>
              <w:jc w:val="both"/>
            </w:pPr>
            <w:r>
              <w:rPr>
                <w:b/>
                <w:sz w:val="21"/>
              </w:rPr>
              <w:t>(十四)</w:t>
            </w:r>
            <w:r>
              <w:rPr>
                <w:b/>
                <w:sz w:val="21"/>
              </w:rPr>
              <w:t>重点工业领域标准研制</w:t>
            </w:r>
          </w:p>
          <w:p>
            <w:pPr>
              <w:jc w:val="both"/>
            </w:pPr>
            <w:r>
              <w:rPr>
                <w:b/>
                <w:color w:val="000000"/>
                <w:sz w:val="21"/>
              </w:rPr>
              <w:t>1.项目背景</w:t>
            </w:r>
          </w:p>
          <w:p>
            <w:pPr>
              <w:ind w:firstLine="420"/>
              <w:jc w:val="both"/>
            </w:pPr>
            <w:r>
              <w:rPr>
                <w:sz w:val="21"/>
              </w:rPr>
              <w:t>重点工业领域标准制定及推广应用（围绕</w:t>
            </w:r>
            <w:r>
              <w:rPr>
                <w:sz w:val="21"/>
              </w:rPr>
              <w:t>“制造业当家”）。</w:t>
            </w:r>
          </w:p>
          <w:p>
            <w:pPr>
              <w:jc w:val="both"/>
            </w:pPr>
          </w:p>
          <w:p>
            <w:pPr>
              <w:jc w:val="both"/>
            </w:pPr>
            <w:r>
              <w:rPr>
                <w:b/>
                <w:color w:val="000000"/>
                <w:sz w:val="21"/>
              </w:rPr>
              <w:t>2.项目简要描述：</w:t>
            </w:r>
          </w:p>
          <w:p>
            <w:pPr>
              <w:ind w:firstLine="420"/>
              <w:jc w:val="both"/>
            </w:pPr>
            <w:r>
              <w:rPr>
                <w:sz w:val="21"/>
              </w:rPr>
              <w:t>围绕</w:t>
            </w:r>
            <w:r>
              <w:rPr>
                <w:sz w:val="21"/>
              </w:rPr>
              <w:t>“制造业当家”，对人工智能、工业互联网或智能制造等重点工业领域最新的技术及标准现状开展技术调研，了解行业的技术现状及标准空白处，推动相关标准制定。</w:t>
            </w:r>
          </w:p>
          <w:p>
            <w:pPr>
              <w:jc w:val="both"/>
            </w:pPr>
            <w:r>
              <w:rPr>
                <w:b/>
                <w:color w:val="000000"/>
                <w:sz w:val="21"/>
              </w:rPr>
              <w:t>3.项目的技术参数或要求：</w:t>
            </w:r>
          </w:p>
          <w:p>
            <w:pPr>
              <w:ind w:firstLine="420"/>
              <w:jc w:val="both"/>
            </w:pPr>
            <w:r>
              <w:rPr>
                <w:sz w:val="21"/>
              </w:rPr>
              <w:t>形成标准草案</w:t>
            </w:r>
            <w:r>
              <w:rPr>
                <w:sz w:val="21"/>
              </w:rPr>
              <w:t>4份。</w:t>
            </w:r>
          </w:p>
          <w:p>
            <w:pPr>
              <w:jc w:val="both"/>
            </w:pPr>
            <w:r>
              <w:rPr>
                <w:b/>
                <w:sz w:val="21"/>
              </w:rPr>
              <w:t>(十五)</w:t>
            </w:r>
            <w:r>
              <w:rPr>
                <w:b/>
                <w:sz w:val="21"/>
              </w:rPr>
              <w:t>基于灰色关联度的无人船安全风险模糊综合评价系统维护</w:t>
            </w:r>
          </w:p>
          <w:p>
            <w:pPr>
              <w:jc w:val="both"/>
            </w:pPr>
            <w:r>
              <w:rPr>
                <w:b/>
                <w:color w:val="000000"/>
                <w:sz w:val="21"/>
              </w:rPr>
              <w:t>1.项目背景</w:t>
            </w:r>
          </w:p>
          <w:p>
            <w:pPr>
              <w:ind w:firstLine="420"/>
              <w:jc w:val="both"/>
            </w:pPr>
            <w:r>
              <w:rPr>
                <w:sz w:val="21"/>
              </w:rPr>
              <w:t>安全运行与风险评估是根据国家《智能船舶发展行动计划（</w:t>
            </w:r>
            <w:r>
              <w:rPr>
                <w:sz w:val="21"/>
              </w:rPr>
              <w:t>2019-2021年）》《智能航运发展指导意见》要求建立的智能船舶标准体系中基础共性部分的内容，也是第二阶段（2023年至2025年）标准建设重点领域。</w:t>
            </w:r>
          </w:p>
          <w:p>
            <w:pPr>
              <w:jc w:val="both"/>
            </w:pPr>
            <w:r>
              <w:rPr>
                <w:b/>
                <w:color w:val="000000"/>
                <w:sz w:val="21"/>
              </w:rPr>
              <w:t>2.项目主要内容</w:t>
            </w:r>
          </w:p>
          <w:p>
            <w:pPr>
              <w:ind w:firstLine="420"/>
              <w:jc w:val="both"/>
            </w:pPr>
            <w:r>
              <w:rPr>
                <w:sz w:val="21"/>
              </w:rPr>
              <w:t>主要负责系统的现有功能日常维护、系统异常处理、数据备份、过期数据和日志清洗、安全管理、必要的插件升级。</w:t>
            </w:r>
          </w:p>
          <w:p>
            <w:pPr>
              <w:jc w:val="both"/>
            </w:pPr>
            <w:r>
              <w:rPr>
                <w:b/>
                <w:sz w:val="21"/>
              </w:rPr>
              <w:t>(十六)</w:t>
            </w:r>
            <w:r>
              <w:rPr>
                <w:b/>
                <w:sz w:val="21"/>
              </w:rPr>
              <w:t>广州市越秀区基本公共服务标准化服务平台维护</w:t>
            </w:r>
          </w:p>
          <w:p>
            <w:pPr>
              <w:jc w:val="both"/>
            </w:pPr>
            <w:r>
              <w:rPr>
                <w:b/>
                <w:color w:val="000000"/>
                <w:sz w:val="21"/>
              </w:rPr>
              <w:t>1.项目背景</w:t>
            </w:r>
          </w:p>
          <w:p>
            <w:pPr>
              <w:ind w:firstLine="420"/>
              <w:jc w:val="both"/>
            </w:pPr>
            <w:r>
              <w:rPr>
                <w:sz w:val="21"/>
              </w:rPr>
              <w:t>广州市越秀区开展国家基本公共服务标准化综合试点建设工作，是市场监管总局、国家发展改革委、财政部关于落实中共中央办公厅、国务院办公厅《关于建立健全基本公共服务标准体系的指导意见》的重要举措，是新时代提高保障和改善民生水平、推进国家治理体系和治理能力现代化的重要抓手。</w:t>
            </w:r>
          </w:p>
          <w:p>
            <w:pPr>
              <w:jc w:val="both"/>
            </w:pPr>
            <w:r>
              <w:rPr>
                <w:b/>
                <w:color w:val="000000"/>
                <w:sz w:val="21"/>
              </w:rPr>
              <w:t>2.项目主要内容</w:t>
            </w:r>
          </w:p>
          <w:p>
            <w:pPr>
              <w:ind w:firstLine="420"/>
              <w:jc w:val="both"/>
            </w:pPr>
            <w:r>
              <w:rPr>
                <w:sz w:val="21"/>
              </w:rPr>
              <w:t>对广州市越秀区基本公共服务标准化服务平台进行维护。</w:t>
            </w:r>
          </w:p>
          <w:p>
            <w:pPr>
              <w:jc w:val="both"/>
            </w:pPr>
            <w:r>
              <w:rPr>
                <w:b/>
                <w:color w:val="000000"/>
                <w:sz w:val="21"/>
              </w:rPr>
              <w:t>3.项目的技术参数或要求</w:t>
            </w:r>
          </w:p>
          <w:p>
            <w:pPr>
              <w:ind w:firstLine="420"/>
              <w:jc w:val="both"/>
            </w:pPr>
            <w:r>
              <w:rPr>
                <w:sz w:val="21"/>
              </w:rPr>
              <w:t>对广州市越秀区基本公共服务标准化服务平台维护，主要内容包括：</w:t>
            </w:r>
          </w:p>
          <w:p>
            <w:pPr>
              <w:ind w:firstLine="420"/>
              <w:jc w:val="both"/>
            </w:pPr>
            <w:r>
              <w:rPr>
                <w:sz w:val="21"/>
              </w:rPr>
              <w:t>主要负责系统的现有功能日常维护、系统异常处理、数据备份、过期数据和日志清洗、安全管理、必要的插件升级。</w:t>
            </w:r>
          </w:p>
          <w:p>
            <w:pPr>
              <w:jc w:val="both"/>
            </w:pPr>
            <w:r>
              <w:rPr>
                <w:b/>
                <w:sz w:val="21"/>
              </w:rPr>
              <w:t>(十七)</w:t>
            </w:r>
            <w:r>
              <w:rPr>
                <w:b/>
                <w:sz w:val="21"/>
              </w:rPr>
              <w:t>液态包装装备制造业标准化工作支撑</w:t>
            </w:r>
          </w:p>
          <w:p>
            <w:pPr>
              <w:jc w:val="both"/>
            </w:pPr>
            <w:r>
              <w:rPr>
                <w:b/>
                <w:color w:val="000000"/>
                <w:sz w:val="21"/>
              </w:rPr>
              <w:t>1.项目背景</w:t>
            </w:r>
          </w:p>
          <w:p>
            <w:pPr>
              <w:ind w:firstLine="420"/>
              <w:jc w:val="both"/>
            </w:pPr>
            <w:r>
              <w:rPr>
                <w:sz w:val="21"/>
              </w:rPr>
              <w:t>高端液态包装设备的世界市场主要为德、美等制造业发达国家占据，国内从事包装设备的企业虽然起步较晚，但具备后发优势，近年来一直在高速发展。液态包装装备制造作为高端装备制造行业的一支，标准化工作可以为行业发展提供更多的支持。本项目聚焦行业专用运维技术，为探索液态包装装备行业专用的运维技术体系，打造联动上下游的运维服务体系，提升广东省液态包装装备行业整体运维服务能力，开展广东省液态包装装备智能运维服务标准化工作。计划研制团体或企业标准并在企业推广应用。</w:t>
            </w:r>
          </w:p>
          <w:p>
            <w:pPr>
              <w:jc w:val="both"/>
            </w:pPr>
            <w:r>
              <w:rPr>
                <w:b/>
                <w:color w:val="000000"/>
                <w:sz w:val="21"/>
              </w:rPr>
              <w:t>2.项目简要描述：</w:t>
            </w:r>
          </w:p>
          <w:p>
            <w:pPr>
              <w:ind w:firstLine="420"/>
              <w:jc w:val="both"/>
            </w:pPr>
            <w:r>
              <w:rPr>
                <w:sz w:val="21"/>
              </w:rPr>
              <w:t>协助采购人在液态包装装备行业开展标准化工作，研制</w:t>
            </w:r>
            <w:r>
              <w:rPr>
                <w:sz w:val="21"/>
              </w:rPr>
              <w:t>2项或以上团体或企业标准。在研制过程中，协助采购人为在标准研制各阶段及关键节点工作，包括研究和梳理液态包装装备智能运维服务业态，收集标准化情况信息，寻求标准化切入点，协助推动标准制定和应用实施。</w:t>
            </w:r>
          </w:p>
          <w:p>
            <w:pPr>
              <w:jc w:val="both"/>
            </w:pPr>
            <w:r>
              <w:rPr>
                <w:b/>
                <w:color w:val="000000"/>
                <w:sz w:val="21"/>
              </w:rPr>
              <w:t>3.项目的技术参数或要求：</w:t>
            </w:r>
          </w:p>
          <w:p>
            <w:pPr>
              <w:ind w:firstLine="420"/>
              <w:jc w:val="both"/>
            </w:pPr>
            <w:r>
              <w:rPr>
                <w:sz w:val="21"/>
              </w:rPr>
              <w:t>（</w:t>
            </w:r>
            <w:r>
              <w:rPr>
                <w:sz w:val="21"/>
              </w:rPr>
              <w:t>1）收集国内、国外液态包装装备行业业态信息，重点关注行业标准化领域，整理资料，并进行分析，形成资料汇总。</w:t>
            </w:r>
          </w:p>
          <w:p>
            <w:pPr>
              <w:ind w:firstLine="420"/>
              <w:jc w:val="both"/>
            </w:pPr>
            <w:r>
              <w:rPr>
                <w:sz w:val="21"/>
              </w:rPr>
              <w:t>（</w:t>
            </w:r>
            <w:r>
              <w:rPr>
                <w:sz w:val="21"/>
              </w:rPr>
              <w:t>2）提出至少两项液态包装装备制造行业企业标准或团体标准制修订建议，分析合理性、可行性，为标准制修订工作创造有利条件，协助采购人在液态包装装备制造行业工作形成标准制修订草案建议。</w:t>
            </w:r>
          </w:p>
          <w:p>
            <w:pPr>
              <w:jc w:val="both"/>
            </w:pPr>
            <w:r>
              <w:rPr>
                <w:b/>
                <w:sz w:val="21"/>
              </w:rPr>
              <w:t>(十八)</w:t>
            </w:r>
            <w:r>
              <w:rPr>
                <w:b/>
                <w:sz w:val="21"/>
              </w:rPr>
              <w:t>统一社会信用代码服务接口升级改造及维护</w:t>
            </w:r>
          </w:p>
          <w:p>
            <w:pPr>
              <w:jc w:val="both"/>
            </w:pPr>
            <w:r>
              <w:rPr>
                <w:b/>
                <w:color w:val="000000"/>
                <w:sz w:val="21"/>
              </w:rPr>
              <w:t>1.项目背景</w:t>
            </w:r>
          </w:p>
          <w:p>
            <w:pPr>
              <w:ind w:firstLine="420"/>
              <w:jc w:val="both"/>
            </w:pPr>
            <w:r>
              <w:rPr>
                <w:sz w:val="21"/>
              </w:rPr>
              <w:t>近几年来，代码管理中心积极贯彻落实国发〔</w:t>
            </w:r>
            <w:r>
              <w:rPr>
                <w:sz w:val="21"/>
              </w:rPr>
              <w:t>2015〕33号等文件精神，履行统一社会信用代码相关工作，主动改造系统，完善数据接口，接收工商、民政、编办等登记管理部门的统一社会信用代码数据，已经在广东省建立覆盖各类组织机构，利用统一社会信用代码进行唯一身份标识，全面集中信息的统一社会信用代码数据库。</w:t>
            </w:r>
          </w:p>
          <w:p>
            <w:pPr>
              <w:ind w:firstLine="420"/>
              <w:jc w:val="both"/>
            </w:pPr>
            <w:r>
              <w:rPr>
                <w:sz w:val="21"/>
              </w:rPr>
              <w:t>随着统一社会信用代码制度的实施，政府、社会各个行业对统一社会信用代码有了全新的认识，特别是随着信息化建设持续推进，社会各个行业对统一社会信用代码数据资源服务的需求更加强烈。但是各市场主体的登记信息也经常变换，目前的接口只能获取最新的登记信息，不能体现变更前的信息，不利于数据溯源和服务市场的开拓。另外，当前系统是</w:t>
            </w:r>
            <w:r>
              <w:rPr>
                <w:sz w:val="21"/>
              </w:rPr>
              <w:t>windows server操作系统和sql server数据库，无法满足上云的需要，网络安全形势日趋严峻的情况下，增加了系统管理风险和信息安全风险。</w:t>
            </w:r>
          </w:p>
          <w:p>
            <w:pPr>
              <w:ind w:firstLine="420"/>
              <w:jc w:val="both"/>
            </w:pPr>
            <w:r>
              <w:rPr>
                <w:sz w:val="21"/>
              </w:rPr>
              <w:t>另外，为认真贯彻党的二十大精神及国务院关于社会信用体系建设的有关要求，增强企业诚信经营意识，促进行业市场秩序的规范和健康发展，维护行业市场秩序，引导企业树立诚信形象、完善服务机制、降低企业经营风险，代码管理中心与信用广东达成战略合作，提供信用广东的企业信息数据服务。</w:t>
            </w:r>
          </w:p>
          <w:p>
            <w:pPr>
              <w:jc w:val="both"/>
            </w:pPr>
            <w:r>
              <w:rPr>
                <w:b/>
                <w:color w:val="000000"/>
                <w:sz w:val="21"/>
              </w:rPr>
              <w:t>2.项目简要描述：</w:t>
            </w:r>
          </w:p>
          <w:p>
            <w:pPr>
              <w:ind w:firstLine="420"/>
              <w:jc w:val="both"/>
            </w:pPr>
            <w:r>
              <w:rPr>
                <w:sz w:val="21"/>
              </w:rPr>
              <w:t>通过对统一社会信用代码服务接口的升级改造，提升服务接口的安全性、稳定性和可靠性，全面提升统一社会信用代码数据的服务效率，实现对统一社会信用代码数据服务更好的管理，也能更好满足不同应用单位对数据的不同服务要求，为进一步推进统一社会信用代码数据在不同领域的拓展应用奠定基础。</w:t>
            </w:r>
          </w:p>
          <w:p>
            <w:pPr>
              <w:jc w:val="both"/>
            </w:pPr>
            <w:r>
              <w:rPr>
                <w:b/>
                <w:color w:val="000000"/>
                <w:sz w:val="21"/>
              </w:rPr>
              <w:t>3.项目的技术参数或要求：</w:t>
            </w:r>
          </w:p>
          <w:p>
            <w:pPr>
              <w:ind w:firstLine="420"/>
              <w:jc w:val="both"/>
            </w:pPr>
            <w:r>
              <w:rPr>
                <w:sz w:val="21"/>
              </w:rPr>
              <w:t>（</w:t>
            </w:r>
            <w:r>
              <w:rPr>
                <w:sz w:val="21"/>
              </w:rPr>
              <w:t>1）新增信用广东接口建设，实现企业信用数据检索服务。</w:t>
            </w:r>
          </w:p>
          <w:p>
            <w:pPr>
              <w:ind w:firstLine="420"/>
              <w:jc w:val="both"/>
            </w:pPr>
            <w:r>
              <w:rPr>
                <w:sz w:val="21"/>
              </w:rPr>
              <w:t>在代码系统现有对外接口中新增信用广东的接口，构建代码系统的门户网站，支持用户注册用户登录后查询信用广东网站的档案详情。</w:t>
            </w:r>
          </w:p>
          <w:p>
            <w:pPr>
              <w:ind w:firstLine="420"/>
              <w:jc w:val="both"/>
            </w:pPr>
            <w:r>
              <w:rPr>
                <w:sz w:val="21"/>
              </w:rPr>
              <w:t>（</w:t>
            </w:r>
            <w:r>
              <w:rPr>
                <w:sz w:val="21"/>
              </w:rPr>
              <w:t>2）新增数据变更信息查询接口</w:t>
            </w:r>
          </w:p>
          <w:p>
            <w:pPr>
              <w:ind w:firstLine="420"/>
              <w:jc w:val="both"/>
            </w:pPr>
            <w:r>
              <w:rPr>
                <w:sz w:val="21"/>
              </w:rPr>
              <w:t>新增数据变更信息查询接口，根据关键字从指定数据库表中查询数据。数据由代码中心根据具体业务情况在数据库中生成每日更新的数据表，关键字为统一代码、机构代码和机构名称，其他字段为数据更新日期，更新字段详情等。</w:t>
            </w:r>
          </w:p>
          <w:p>
            <w:pPr>
              <w:ind w:firstLine="420"/>
              <w:jc w:val="both"/>
            </w:pPr>
            <w:r>
              <w:rPr>
                <w:sz w:val="21"/>
              </w:rPr>
              <w:t>（</w:t>
            </w:r>
            <w:r>
              <w:rPr>
                <w:sz w:val="21"/>
              </w:rPr>
              <w:t>3）现有接口系统架构调整</w:t>
            </w:r>
          </w:p>
          <w:p>
            <w:pPr>
              <w:ind w:firstLine="420"/>
              <w:jc w:val="both"/>
            </w:pPr>
            <w:r>
              <w:rPr>
                <w:sz w:val="21"/>
              </w:rPr>
              <w:t>为适应更严格的网络安全要求，为服务上云做准备，对数据应用接口系统进行数据库调整、权限、整体架构和部署环境等进行优化。</w:t>
            </w:r>
          </w:p>
          <w:p>
            <w:pPr>
              <w:ind w:firstLine="420"/>
              <w:jc w:val="both"/>
            </w:pPr>
            <w:r>
              <w:rPr>
                <w:sz w:val="21"/>
              </w:rPr>
              <w:t>（</w:t>
            </w:r>
            <w:r>
              <w:rPr>
                <w:sz w:val="21"/>
              </w:rPr>
              <w:t>4）数据迁移</w:t>
            </w:r>
          </w:p>
          <w:p>
            <w:pPr>
              <w:ind w:firstLine="420"/>
              <w:jc w:val="both"/>
            </w:pPr>
            <w:r>
              <w:rPr>
                <w:sz w:val="21"/>
              </w:rPr>
              <w:t>现有接口系统的数据库和操作系统调整后，需要对原系统的数据进行迁移。</w:t>
            </w:r>
          </w:p>
          <w:p>
            <w:pPr>
              <w:ind w:firstLine="420"/>
              <w:jc w:val="both"/>
            </w:pPr>
            <w:r>
              <w:rPr>
                <w:sz w:val="21"/>
              </w:rPr>
              <w:t>（</w:t>
            </w:r>
            <w:r>
              <w:rPr>
                <w:sz w:val="21"/>
              </w:rPr>
              <w:t>5）安全要求</w:t>
            </w:r>
          </w:p>
          <w:p>
            <w:pPr>
              <w:ind w:firstLine="420"/>
              <w:jc w:val="both"/>
            </w:pPr>
            <w:r>
              <w:rPr>
                <w:sz w:val="21"/>
              </w:rPr>
              <w:t>提升服务接口的安全性能，保证服务接口升级改造之后能够满足三级等保要求，为服务接口对应用单位提供稳定可靠的数据服务提供安全保障。</w:t>
            </w:r>
          </w:p>
          <w:p>
            <w:pPr>
              <w:ind w:firstLine="420"/>
              <w:jc w:val="both"/>
            </w:pPr>
            <w:r>
              <w:rPr>
                <w:sz w:val="21"/>
              </w:rPr>
              <w:t xml:space="preserve">                      </w:t>
            </w:r>
          </w:p>
          <w:p>
            <w:pPr>
              <w:jc w:val="both"/>
            </w:pPr>
            <w:r>
              <w:rPr>
                <w:b/>
                <w:sz w:val="21"/>
              </w:rPr>
              <w:t>(十九)</w:t>
            </w:r>
            <w:r>
              <w:rPr>
                <w:b/>
                <w:sz w:val="21"/>
              </w:rPr>
              <w:t>广东省标准馆多媒体硬件日常维护项目</w:t>
            </w:r>
          </w:p>
          <w:p>
            <w:pPr>
              <w:jc w:val="both"/>
            </w:pPr>
            <w:r>
              <w:rPr>
                <w:b/>
                <w:color w:val="000000"/>
                <w:sz w:val="21"/>
              </w:rPr>
              <w:t>1.项目背景</w:t>
            </w:r>
          </w:p>
          <w:p>
            <w:pPr>
              <w:ind w:firstLine="420"/>
              <w:jc w:val="both"/>
            </w:pPr>
            <w:r>
              <w:rPr>
                <w:sz w:val="21"/>
              </w:rPr>
              <w:t>广东省标准馆是广东省发改委于</w:t>
            </w:r>
            <w:r>
              <w:rPr>
                <w:sz w:val="21"/>
              </w:rPr>
              <w:t>2016年、2017年下达的重点建设项目，按照省政府《广东省人民政府关于深化标准化工作改革和推进广东先进标准体系建设的意见》（粤府【2016】127号）文件要求，不断丰富标准馆藏，建立国内一流、国际先进的标准信息和标准化活动基地，且广东省标准馆为市场监管总局认定的“市场监管科普教育基地”（市监科财〔2019〕29 号），广东省市场监管工作的重要宣传基地，集标准化与质量文化、先进制造业标准化体验、战（zhan）略（lue）新（xin）兴（xing）产（chan）业（ye）标准化体验、服务业标准化体验、广东省地理标志产品展示馆等十个特色分明的主题展馆，内容丰富，层次分明、展示形式多样，有很强的趣味性、普及性和品牌展示功能，因此备有大量多媒体硬件设备和系统集成设施，存在维护维修需求。根据有关科普教育管理办法以及《广东省科普教育基地管理办法》（粤科协联〔2022〕1号），应做好省标准馆的管理工作，强化科普设施建设维护，保证省标准馆的正常运行，充分发挥自身特色优势，不断丰富展示和宣传资源及形式，积极向社会公众开展科普活动，以将广东省标准馆打造成为全国独一无二的、传播质量与标准化技术与文化的宣传、教育、体验与科学普及平台为目标。</w:t>
            </w:r>
          </w:p>
          <w:p>
            <w:pPr>
              <w:jc w:val="both"/>
            </w:pPr>
            <w:r>
              <w:rPr>
                <w:b/>
                <w:color w:val="000000"/>
                <w:sz w:val="21"/>
              </w:rPr>
              <w:t>2.项目简要描述：</w:t>
            </w:r>
          </w:p>
          <w:p>
            <w:pPr>
              <w:ind w:firstLine="420"/>
              <w:jc w:val="both"/>
            </w:pPr>
            <w:r>
              <w:rPr>
                <w:sz w:val="21"/>
              </w:rPr>
              <w:t>为确保广东省标准馆日常正常运行，需对标准馆内的电脑设备、</w:t>
            </w:r>
            <w:r>
              <w:rPr>
                <w:sz w:val="21"/>
              </w:rPr>
              <w:t>LED等多媒体显示设备、触控一体机、投影设备、网络设备、展馆中控系统等多媒体硬件设备和系统集成进行日常维护和问题检修处理等。</w:t>
            </w:r>
          </w:p>
          <w:p>
            <w:pPr>
              <w:jc w:val="both"/>
            </w:pPr>
            <w:r>
              <w:rPr>
                <w:b/>
                <w:color w:val="000000"/>
                <w:sz w:val="21"/>
              </w:rPr>
              <w:t>3.项目的技术参数或要求：</w:t>
            </w:r>
          </w:p>
          <w:p>
            <w:pPr>
              <w:ind w:firstLine="420"/>
              <w:jc w:val="both"/>
            </w:pPr>
            <w:r>
              <w:rPr>
                <w:sz w:val="21"/>
              </w:rPr>
              <w:t>1. 主要工作内容：</w:t>
            </w:r>
          </w:p>
          <w:p>
            <w:pPr>
              <w:ind w:firstLine="420"/>
              <w:jc w:val="both"/>
            </w:pPr>
            <w:r>
              <w:rPr>
                <w:sz w:val="21"/>
              </w:rPr>
              <w:t>（</w:t>
            </w:r>
            <w:r>
              <w:rPr>
                <w:sz w:val="21"/>
              </w:rPr>
              <w:t>1）每月安排技术人员对广东省标准馆内多媒体硬件、中控系统等硬件设备进行逐机检查，记录各设备运行状态。如遇设备或系统故障，安排专业人员进行故障检测并作出维修方案。</w:t>
            </w:r>
          </w:p>
          <w:p>
            <w:pPr>
              <w:ind w:firstLine="420"/>
              <w:jc w:val="both"/>
            </w:pPr>
            <w:r>
              <w:rPr>
                <w:sz w:val="21"/>
              </w:rPr>
              <w:t>（</w:t>
            </w:r>
            <w:r>
              <w:rPr>
                <w:sz w:val="21"/>
              </w:rPr>
              <w:t>2）为确保标准馆内硬件设备运行正常和保障电子设备稳定性，要求每季度安排技术人员对展馆内硬件设备进行防尘防潮处置，确保设备干净、清洁、无尘，检修后恢复设备运行。</w:t>
            </w:r>
          </w:p>
          <w:p>
            <w:pPr>
              <w:ind w:firstLine="420"/>
              <w:jc w:val="both"/>
            </w:pPr>
            <w:r>
              <w:rPr>
                <w:sz w:val="21"/>
              </w:rPr>
              <w:t>（</w:t>
            </w:r>
            <w:r>
              <w:rPr>
                <w:sz w:val="21"/>
              </w:rPr>
              <w:t>3）配合标准馆管理中心，对电脑系统进行查杀毒处理、系统维护和重装等工作，确保展馆内多媒体系统运行正常。</w:t>
            </w:r>
          </w:p>
          <w:p>
            <w:pPr>
              <w:ind w:firstLine="420"/>
              <w:jc w:val="both"/>
            </w:pPr>
            <w:r>
              <w:rPr>
                <w:sz w:val="21"/>
              </w:rPr>
              <w:t>（</w:t>
            </w:r>
            <w:r>
              <w:rPr>
                <w:sz w:val="21"/>
              </w:rPr>
              <w:t>4）标准馆正常开馆期间，在接到管理中心故障报告后，1小时内派技术人员到达现场进行设备检修、维护。</w:t>
            </w:r>
          </w:p>
          <w:p>
            <w:pPr>
              <w:ind w:firstLine="420"/>
              <w:jc w:val="both"/>
            </w:pPr>
            <w:r>
              <w:rPr>
                <w:sz w:val="21"/>
              </w:rPr>
              <w:t>2. 绩效目标：标准馆设备正常运行率96%以上，故障反馈相应要求：1小时内到达现场、8小时内给出问题诊断及维修方案；非硬件损坏问题，48小时内解决故障，如遇硬件更换问题，5个工作日内解决故障。</w:t>
            </w:r>
          </w:p>
          <w:p>
            <w:pPr>
              <w:ind w:firstLine="420"/>
              <w:jc w:val="both"/>
            </w:pPr>
            <w:r>
              <w:rPr>
                <w:sz w:val="21"/>
              </w:rPr>
              <w:t>3. 验收要求：</w:t>
            </w:r>
          </w:p>
          <w:p>
            <w:pPr>
              <w:ind w:firstLine="420"/>
              <w:jc w:val="both"/>
            </w:pPr>
            <w:r>
              <w:rPr>
                <w:sz w:val="21"/>
              </w:rPr>
              <w:t>（</w:t>
            </w:r>
            <w:r>
              <w:rPr>
                <w:sz w:val="21"/>
              </w:rPr>
              <w:t>1）提供每月设备检查记录表；</w:t>
            </w:r>
          </w:p>
          <w:p>
            <w:pPr>
              <w:ind w:firstLine="420"/>
              <w:jc w:val="both"/>
            </w:pPr>
            <w:r>
              <w:rPr>
                <w:sz w:val="21"/>
              </w:rPr>
              <w:t>（</w:t>
            </w:r>
            <w:r>
              <w:rPr>
                <w:sz w:val="21"/>
              </w:rPr>
              <w:t>2）每季度设备清洁和处置记录表；</w:t>
            </w:r>
          </w:p>
          <w:p>
            <w:pPr>
              <w:ind w:firstLine="420"/>
              <w:jc w:val="both"/>
            </w:pPr>
            <w:r>
              <w:rPr>
                <w:sz w:val="21"/>
              </w:rPr>
              <w:t>（</w:t>
            </w:r>
            <w:r>
              <w:rPr>
                <w:sz w:val="21"/>
              </w:rPr>
              <w:t>3）省标准馆设备整体运行报告；</w:t>
            </w:r>
          </w:p>
          <w:p>
            <w:pPr>
              <w:ind w:firstLine="420"/>
              <w:jc w:val="both"/>
            </w:pPr>
            <w:r>
              <w:rPr>
                <w:sz w:val="21"/>
              </w:rPr>
              <w:t>（</w:t>
            </w:r>
            <w:r>
              <w:rPr>
                <w:sz w:val="21"/>
              </w:rPr>
              <w:t>4）故障出勤工单及故障记录；</w:t>
            </w:r>
          </w:p>
          <w:p>
            <w:pPr>
              <w:ind w:firstLine="420"/>
              <w:jc w:val="both"/>
            </w:pPr>
            <w:r>
              <w:rPr>
                <w:sz w:val="21"/>
              </w:rPr>
              <w:t>（</w:t>
            </w:r>
            <w:r>
              <w:rPr>
                <w:sz w:val="21"/>
              </w:rPr>
              <w:t>5）重大故障解决方案（若有重大故障）；</w:t>
            </w:r>
          </w:p>
          <w:p>
            <w:pPr>
              <w:ind w:firstLine="420"/>
              <w:jc w:val="both"/>
            </w:pPr>
            <w:r>
              <w:rPr>
                <w:sz w:val="21"/>
              </w:rPr>
              <w:t>（</w:t>
            </w:r>
            <w:r>
              <w:rPr>
                <w:sz w:val="21"/>
              </w:rPr>
              <w:t>6）客户满意调查表（定期和不定期：每季度向服务对象调查一次，故障维修完后调查一次）。</w:t>
            </w:r>
          </w:p>
          <w:p>
            <w:pPr>
              <w:ind w:firstLine="420"/>
              <w:jc w:val="both"/>
            </w:pPr>
            <w:r>
              <w:rPr>
                <w:sz w:val="21"/>
              </w:rPr>
              <w:t xml:space="preserve">                                 </w:t>
            </w:r>
          </w:p>
          <w:p>
            <w:pPr>
              <w:jc w:val="both"/>
            </w:pPr>
            <w:r>
              <w:rPr>
                <w:b/>
                <w:sz w:val="21"/>
              </w:rPr>
              <w:t>(二十)</w:t>
            </w:r>
            <w:r>
              <w:rPr>
                <w:b/>
                <w:sz w:val="21"/>
              </w:rPr>
              <w:t>产品质量安全风险信息分析及风险监测研究</w:t>
            </w:r>
          </w:p>
          <w:p>
            <w:pPr>
              <w:jc w:val="both"/>
            </w:pPr>
            <w:r>
              <w:rPr>
                <w:b/>
                <w:color w:val="000000"/>
                <w:sz w:val="21"/>
              </w:rPr>
              <w:t>1.项目背景</w:t>
            </w:r>
          </w:p>
          <w:p>
            <w:pPr>
              <w:ind w:firstLine="420"/>
              <w:jc w:val="both"/>
            </w:pPr>
            <w:r>
              <w:rPr>
                <w:sz w:val="21"/>
              </w:rPr>
              <w:t>为深入贯彻落实《广东省人民政府印发</w:t>
            </w:r>
            <w:r>
              <w:rPr>
                <w:sz w:val="21"/>
              </w:rPr>
              <w:t>&lt;关于加快推进质量强省建设的实施方案&gt;的通知》（粤府〔2020〕50号）、《国务院关于加强和规范事中事后监管的指导意见》（国发〔2019〕18号）、《中共广东省委  广东省人民政府关于实施质量强省战略的决定》（粤发〔2016〕9号）、《质检总局关于加强产品质量安全风险监控工作的指导意见》（国质检监〔2014〕36号）、《关于推进全省质监系统产品质量安全风险监测与预警工作的通知》（粤质监监函〔2011〕916号）等文件精神，开展产品质量安全风险信息分析及风险监测研究工作，为我省产品质量安全监管提供信息和技术支撑，防范系统性、区域性、行业性产品质量问题发生。</w:t>
            </w:r>
          </w:p>
          <w:p>
            <w:pPr>
              <w:jc w:val="both"/>
            </w:pPr>
            <w:r>
              <w:rPr>
                <w:b/>
                <w:color w:val="000000"/>
                <w:sz w:val="21"/>
              </w:rPr>
              <w:t>2.项目简要描述：</w:t>
            </w:r>
          </w:p>
          <w:p>
            <w:pPr>
              <w:ind w:firstLine="420"/>
              <w:jc w:val="both"/>
            </w:pPr>
            <w:r>
              <w:rPr>
                <w:sz w:val="21"/>
              </w:rPr>
              <w:t>产品质量安全风险信息采集、筛选及管理，完成《风险快讯》编发；舆（yu）情（qing）信息分析，完成</w:t>
            </w:r>
            <w:r>
              <w:rPr>
                <w:sz w:val="21"/>
              </w:rPr>
              <w:t>舆. 忄青.</w:t>
            </w:r>
            <w:r>
              <w:rPr>
                <w:sz w:val="21"/>
              </w:rPr>
              <w:t>信息简报；产品伤害监测项目建议研究；开展产品质量安全科普宣传。</w:t>
            </w:r>
          </w:p>
          <w:p>
            <w:pPr>
              <w:jc w:val="both"/>
            </w:pPr>
            <w:r>
              <w:rPr>
                <w:b/>
                <w:color w:val="000000"/>
                <w:sz w:val="21"/>
              </w:rPr>
              <w:t>3.项目的技术参数或要求：</w:t>
            </w:r>
          </w:p>
          <w:p>
            <w:pPr>
              <w:ind w:firstLine="420"/>
              <w:jc w:val="both"/>
            </w:pPr>
            <w:r>
              <w:rPr>
                <w:sz w:val="21"/>
              </w:rPr>
              <w:t>开展产品质量安全风险信息分析及风险监测研究，包括风险信息管理及分析、产品伤害监测项目研究、产品质量安全科普宣传活动等，为广东省产品质量安全监管提供信息和技术支撑，达到减少产品风险，降低产品伤害事件，保障消费者人身健康安全的目的。具体采购需求如下：</w:t>
            </w:r>
          </w:p>
          <w:p>
            <w:pPr>
              <w:ind w:firstLine="420"/>
              <w:jc w:val="both"/>
            </w:pPr>
            <w:r>
              <w:rPr>
                <w:sz w:val="21"/>
              </w:rPr>
              <w:t>（</w:t>
            </w:r>
            <w:r>
              <w:rPr>
                <w:sz w:val="21"/>
              </w:rPr>
              <w:t>1）风险信息采集、筛选及管理：每个工作日通过搜索引擎等方式，开展网络</w:t>
            </w:r>
            <w:r>
              <w:rPr>
                <w:sz w:val="21"/>
              </w:rPr>
              <w:t>舆（yu）情（qing）</w:t>
            </w:r>
            <w:r>
              <w:rPr>
                <w:sz w:val="21"/>
              </w:rPr>
              <w:t>风险信息的采集、筛选、研判及分析，完成每个工作日《风险快讯》的编发及管理。</w:t>
            </w:r>
          </w:p>
          <w:p>
            <w:pPr>
              <w:ind w:firstLine="420"/>
              <w:jc w:val="both"/>
            </w:pPr>
            <w:r>
              <w:rPr>
                <w:sz w:val="21"/>
              </w:rPr>
              <w:t>（</w:t>
            </w:r>
            <w:r>
              <w:rPr>
                <w:sz w:val="21"/>
              </w:rPr>
              <w:t>2）</w:t>
            </w:r>
            <w:r>
              <w:rPr>
                <w:sz w:val="21"/>
              </w:rPr>
              <w:t>舆（yu）情（qing）</w:t>
            </w:r>
            <w:r>
              <w:rPr>
                <w:sz w:val="21"/>
              </w:rPr>
              <w:t>和伤害信息数据研判分析：根据</w:t>
            </w:r>
            <w:r>
              <w:rPr>
                <w:sz w:val="21"/>
              </w:rPr>
              <w:t>舆（yu）情（qing）</w:t>
            </w:r>
            <w:r>
              <w:rPr>
                <w:sz w:val="21"/>
              </w:rPr>
              <w:t>和伤害等风险信息内容，结合当前</w:t>
            </w:r>
            <w:r>
              <w:rPr>
                <w:sz w:val="21"/>
              </w:rPr>
              <w:t>舆（yu）情（qing）</w:t>
            </w:r>
            <w:r>
              <w:rPr>
                <w:sz w:val="21"/>
              </w:rPr>
              <w:t>信息数据，从风险点、标准等方面入手，对</w:t>
            </w:r>
            <w:r>
              <w:rPr>
                <w:sz w:val="21"/>
              </w:rPr>
              <w:t>舆（yu）情（qing）</w:t>
            </w:r>
            <w:r>
              <w:rPr>
                <w:sz w:val="21"/>
              </w:rPr>
              <w:t>关注热点、典型致伤产品等进行分析，起草编制不少于3期的</w:t>
            </w:r>
            <w:r>
              <w:rPr>
                <w:sz w:val="21"/>
              </w:rPr>
              <w:t>舆（yu）情（qing）</w:t>
            </w:r>
            <w:r>
              <w:rPr>
                <w:sz w:val="21"/>
              </w:rPr>
              <w:t>信息分析简报，为广东省产品质量安全监管提供信息和技术支撑。</w:t>
            </w:r>
          </w:p>
          <w:p>
            <w:pPr>
              <w:ind w:firstLine="420"/>
              <w:jc w:val="both"/>
            </w:pPr>
            <w:r>
              <w:rPr>
                <w:sz w:val="21"/>
              </w:rPr>
              <w:t>（</w:t>
            </w:r>
            <w:r>
              <w:rPr>
                <w:sz w:val="21"/>
              </w:rPr>
              <w:t>3）产品伤害监测项目建议研究：对征集的产品伤害监测项目进行汇总、分析，从监督抽查、伤害信息、</w:t>
            </w:r>
            <w:r>
              <w:rPr>
                <w:sz w:val="21"/>
              </w:rPr>
              <w:t>舆（yu）情（qing）</w:t>
            </w:r>
            <w:r>
              <w:rPr>
                <w:sz w:val="21"/>
              </w:rPr>
              <w:t>热点、产品风险点、以往相关项目开展情况等方面，对项目进行评审，并给出详细的评审建议，形成项目计划建议表。</w:t>
            </w:r>
          </w:p>
          <w:p>
            <w:pPr>
              <w:ind w:firstLine="420"/>
              <w:jc w:val="both"/>
            </w:pPr>
            <w:r>
              <w:rPr>
                <w:sz w:val="21"/>
              </w:rPr>
              <w:t>（</w:t>
            </w:r>
            <w:r>
              <w:rPr>
                <w:sz w:val="21"/>
              </w:rPr>
              <w:t>4）产品质量安全科普宣传：围绕产品</w:t>
            </w:r>
            <w:r>
              <w:rPr>
                <w:sz w:val="21"/>
              </w:rPr>
              <w:t>舆（yu）情（qing）</w:t>
            </w:r>
            <w:r>
              <w:rPr>
                <w:sz w:val="21"/>
              </w:rPr>
              <w:t>或伤害等信息，基于自媒体等平台，开展产品质量安全科普宣传，推送不少于20篇的产品质量安全科普文章，为消费者普及产品质量安全知识。</w:t>
            </w:r>
          </w:p>
          <w:p>
            <w:pPr>
              <w:jc w:val="both"/>
            </w:pP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广东省标准化研究院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吕永珊、梁诗琦</w:t>
      </w:r>
    </w:p>
    <w:p>
      <w:pPr>
        <w:ind w:firstLine="480"/>
      </w:pPr>
      <w:r>
        <w:rPr/>
        <w:t>电话：</w:t>
      </w:r>
      <w:r>
        <w:rPr/>
        <w:t>020-37814404、020-87687056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采购包1(2024年度标准化服务)：综合评分法,是指投标文件满足招标文件全部实质性要求，且按照评审因素的量化指标评审得分最高的投标人为中标候选人的评标方法。（最低报价不是中标的唯一依据。）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采购包1（2024年度标准化服务）：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采购包1（2024年度标准化服务）：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采购包1（2024年度标准化服务）：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采购包1(2024年度标准化服务):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技术部分50.0分</w:t>
            </w:r>
          </w:p>
          <w:p>
            <w:r>
              <w:rPr/>
              <w:t>报价得分15.0分</w:t>
            </w:r>
          </w:p>
        </w:tc>
      </w:tr>
      <w:tr>
        <w:tc>
          <w:tcPr>
            <w:tcW w:type="dxa" w:w="922"/>
            <w:gridSpan w:val="2"/>
            <w:vMerge w:val="restart"/>
          </w:tcPr>
          <w:p>
            <w:pPr>
              <w:jc w:val="center"/>
            </w:pPr>
            <w:r>
              <w:rPr/>
              <w:t>技术部分</w:t>
            </w:r>
          </w:p>
        </w:tc>
        <w:tc>
          <w:tcPr>
            <w:tcW w:type="dxa" w:w="2307"/>
          </w:tcPr>
          <w:p>
            <w:pPr>
              <w:jc w:val="left"/>
            </w:pPr>
            <w:r>
              <w:rPr/>
              <w:t>项目理解能力 (5.0分)</w:t>
            </w:r>
            <w:r>
              <w:rPr/>
              <w:t>，（等次分值选择：</w:t>
            </w:r>
            <w:r>
              <w:rPr/>
              <w:t>0.0;</w:t>
            </w:r>
            <w:r>
              <w:rPr/>
              <w:t>1.0;</w:t>
            </w:r>
            <w:r>
              <w:rPr/>
              <w:t>2.0;</w:t>
            </w:r>
            <w:r>
              <w:rPr/>
              <w:t>3.0;</w:t>
            </w:r>
            <w:r>
              <w:rPr/>
              <w:t>5.0;</w:t>
            </w:r>
            <w:r>
              <w:rPr/>
              <w:t>）</w:t>
            </w:r>
          </w:p>
        </w:tc>
        <w:tc>
          <w:tcPr>
            <w:tcW w:type="dxa" w:w="5076"/>
          </w:tcPr>
          <w:p>
            <w:pPr>
              <w:jc w:val="left"/>
            </w:pPr>
            <w:r>
              <w:rPr/>
              <w:t>评标委员会根据投标人提供的对本项目的需求理解与分析（包括但不限于对本项目的需求理解、分析及建议）响应情况进行评审： 1.投标人对本项目需求充分理解，能针对本项目提出合理的建议，能有效保障本项目实施，有利于实现服务效果的，得5分； 2.投标人对本项目需求理解到位，能针对本项目提出基本合理的建议，能基本保障本项目服务实施，基本满足服务效果的，得3分； 3.投标人对本项目需求基本理解，能针对本项目提出部分合理的建议，只能部分保障本项目服务实施或达到部分服务效果的，得2分； 4.投标人对本项目需求不够理解，不能针对本项目提出合理的建议，无法保障本项目服务实施或无法达到服务效果的，得1分；  5.未体现上述内容的不得分。</w:t>
            </w:r>
          </w:p>
        </w:tc>
      </w:tr>
      <w:tr>
        <w:tc>
          <w:tcPr>
            <w:tcW w:type="dxa" w:w="922"/>
            <w:gridSpan w:val="2"/>
            <w:vMerge/>
          </w:tcPr>
          <w:p/>
        </w:tc>
        <w:tc>
          <w:tcPr>
            <w:tcW w:type="dxa" w:w="2307"/>
          </w:tcPr>
          <w:p>
            <w:pPr>
              <w:jc w:val="left"/>
            </w:pPr>
            <w:r>
              <w:rPr/>
              <w:t>标准化技术服务方案 (12.0分)</w:t>
            </w:r>
            <w:r>
              <w:rPr/>
              <w:t>，（等次分值选择：</w:t>
            </w:r>
            <w:r>
              <w:rPr/>
              <w:t>0.0;</w:t>
            </w:r>
            <w:r>
              <w:rPr/>
              <w:t>3.0;</w:t>
            </w:r>
            <w:r>
              <w:rPr/>
              <w:t>6.0;</w:t>
            </w:r>
            <w:r>
              <w:rPr/>
              <w:t>9.0;</w:t>
            </w:r>
            <w:r>
              <w:rPr/>
              <w:t>12.0;</w:t>
            </w:r>
            <w:r>
              <w:rPr/>
              <w:t>）</w:t>
            </w:r>
          </w:p>
        </w:tc>
        <w:tc>
          <w:tcPr>
            <w:tcW w:type="dxa" w:w="5076"/>
          </w:tcPr>
          <w:p>
            <w:pPr>
              <w:jc w:val="left"/>
            </w:pPr>
            <w:r>
              <w:rPr/>
              <w:t>投标人提供针对本项目的标准化技术服务方案，包括但不限于标准化信息技术支撑，标准化相关体系研究、编制方案，其他相关事项服务方案： 1.技术服务方案完整，具体可行，可操作性强，能有效保障本项目实施，有利于实现服务效果的，得12分；  2.技术服务方案基本完整可行，有一定的可操作性，能基本保障本项目服务实施，基本满足服务效果的，得9分； 3.技术服务方案不够完整可行，可操作性不足，只能部分保障本项目服务实施或达到部分服务效果的，得6分；   4.技术服务方案不完整，不可行，可操作性差，无法保障本项目服务实施或无法达到服务效果的，得3分； 5.不提供标准化技术服务方案的不得分。</w:t>
            </w:r>
          </w:p>
        </w:tc>
      </w:tr>
      <w:tr>
        <w:tc>
          <w:tcPr>
            <w:tcW w:type="dxa" w:w="922"/>
            <w:gridSpan w:val="2"/>
            <w:vMerge/>
          </w:tcPr>
          <w:p/>
        </w:tc>
        <w:tc>
          <w:tcPr>
            <w:tcW w:type="dxa" w:w="2307"/>
          </w:tcPr>
          <w:p>
            <w:pPr>
              <w:jc w:val="left"/>
            </w:pPr>
            <w:r>
              <w:rPr/>
              <w:t>进度计划及质量保证措施 (6.0分)</w:t>
            </w:r>
            <w:r>
              <w:rPr/>
              <w:t>，（等次分值选择：</w:t>
            </w:r>
            <w:r>
              <w:rPr/>
              <w:t>0.0;</w:t>
            </w:r>
            <w:r>
              <w:rPr/>
              <w:t>2.0;</w:t>
            </w:r>
            <w:r>
              <w:rPr/>
              <w:t>4.0;</w:t>
            </w:r>
            <w:r>
              <w:rPr/>
              <w:t>6.0;</w:t>
            </w:r>
            <w:r>
              <w:rPr/>
              <w:t>）</w:t>
            </w:r>
          </w:p>
        </w:tc>
        <w:tc>
          <w:tcPr>
            <w:tcW w:type="dxa" w:w="5076"/>
          </w:tcPr>
          <w:p>
            <w:pPr>
              <w:jc w:val="left"/>
            </w:pPr>
            <w:r>
              <w:rPr/>
              <w:t>对投标人提供的实施方案（包括进度计划及质量保证措施）的合理性、完整性等方面进行评分。  1.实施方案合理性、完整性强，具备可行性，能有效保障本项目实施，有利于实现服务效果的，得6分；  2.实施方案基本合理完整，具备可行性，能基本保障本项目服务实施，基本满足服务效果的，得4分；  3.实施方案合理性、完整性差，不具备可行性，无法保障本项目服务实施或无法达到服务效果的，得2分；  4.未提供实施方案不得分。</w:t>
            </w:r>
          </w:p>
        </w:tc>
      </w:tr>
      <w:tr>
        <w:tc>
          <w:tcPr>
            <w:tcW w:type="dxa" w:w="922"/>
            <w:gridSpan w:val="2"/>
            <w:vMerge/>
          </w:tcPr>
          <w:p/>
        </w:tc>
        <w:tc>
          <w:tcPr>
            <w:tcW w:type="dxa" w:w="2307"/>
          </w:tcPr>
          <w:p>
            <w:pPr>
              <w:jc w:val="left"/>
            </w:pPr>
            <w:r>
              <w:rPr/>
              <w:t>对国内外标准更新以及加工情况 (6.0分)</w:t>
            </w:r>
            <w:r>
              <w:rPr/>
              <w:t>，（等次分值选择：</w:t>
            </w:r>
            <w:r>
              <w:rPr/>
              <w:t>0.0;</w:t>
            </w:r>
            <w:r>
              <w:rPr/>
              <w:t>1.0;</w:t>
            </w:r>
            <w:r>
              <w:rPr/>
              <w:t>2.0;</w:t>
            </w:r>
            <w:r>
              <w:rPr/>
              <w:t>4.0;</w:t>
            </w:r>
            <w:r>
              <w:rPr/>
              <w:t>6.0;</w:t>
            </w:r>
            <w:r>
              <w:rPr/>
              <w:t>）</w:t>
            </w:r>
          </w:p>
        </w:tc>
        <w:tc>
          <w:tcPr>
            <w:tcW w:type="dxa" w:w="5076"/>
          </w:tcPr>
          <w:p>
            <w:pPr>
              <w:jc w:val="left"/>
            </w:pPr>
            <w:r>
              <w:rPr/>
              <w:t>1.对国内外标准有清晰、透彻的理解和分析，以及对国内外标准更新时能及时响应入库和加工能力的，能有效保障本项目实施，有利于实现服务效果的，得6分；  2.对国内外标准的理解和分析基本清晰、合理的，且具有加工能力的，能基本保障本项目服务实施，基本满足服务效果的，得4分；  3.对国内外标准的理解和分析不够清晰、合理的，只能部分保障本项目服务实施或达到部分服务效果的，得2分； 4.对国内外标准的理解和分析不清晰、合理性不强的，无法保障本项目服务实施或无法达到服务效果的，得1分； 5.未提供对国内外标准更新以及加工情况的不得分。</w:t>
            </w:r>
          </w:p>
        </w:tc>
      </w:tr>
      <w:tr>
        <w:tc>
          <w:tcPr>
            <w:tcW w:type="dxa" w:w="922"/>
            <w:gridSpan w:val="2"/>
            <w:vMerge/>
          </w:tcPr>
          <w:p/>
        </w:tc>
        <w:tc>
          <w:tcPr>
            <w:tcW w:type="dxa" w:w="2307"/>
          </w:tcPr>
          <w:p>
            <w:pPr>
              <w:jc w:val="left"/>
            </w:pPr>
            <w:r>
              <w:rPr/>
              <w:t>重难点分析及应对措施 (9.0分)</w:t>
            </w:r>
            <w:r>
              <w:rPr/>
              <w:t>，（等次分值选择：</w:t>
            </w:r>
            <w:r>
              <w:rPr/>
              <w:t>0.0;</w:t>
            </w:r>
            <w:r>
              <w:rPr/>
              <w:t>1.0;</w:t>
            </w:r>
            <w:r>
              <w:rPr/>
              <w:t>3.0;</w:t>
            </w:r>
            <w:r>
              <w:rPr/>
              <w:t>6.0;</w:t>
            </w:r>
            <w:r>
              <w:rPr/>
              <w:t>9.0;</w:t>
            </w:r>
            <w:r>
              <w:rPr/>
              <w:t>）</w:t>
            </w:r>
          </w:p>
        </w:tc>
        <w:tc>
          <w:tcPr>
            <w:tcW w:type="dxa" w:w="5076"/>
          </w:tcPr>
          <w:p>
            <w:pPr>
              <w:jc w:val="left"/>
            </w:pPr>
            <w:r>
              <w:rPr/>
              <w:t>针对项目实施过程中可能出现的重点及难点进行分析，并提出应对措施：  1.项目重难点分析准确、深刻理解，应对措施切实可行、有针对性，能有效保障本项目实施，有利于实现服务效果的，得9分；  2.项目重难点分析基本准确、有一定的深刻理解，应对措施切实可行、有针对性，能基本保障本项目服务实施，基本满足服务效果的，得6分；   3.项目重难点分析及应对措施不足，只能部分保障本项目服务实施或达到部分服务效果的，得3分； 4.项目重难点分析不到位，应对措施合理性不强，无法保障本项目服务实施或无法达到服务效果的，得1分； 5.不提供重难点分析及应对措施的不得分。</w:t>
            </w:r>
          </w:p>
        </w:tc>
      </w:tr>
      <w:tr>
        <w:tc>
          <w:tcPr>
            <w:tcW w:type="dxa" w:w="922"/>
            <w:gridSpan w:val="2"/>
            <w:vMerge/>
          </w:tcPr>
          <w:p/>
        </w:tc>
        <w:tc>
          <w:tcPr>
            <w:tcW w:type="dxa" w:w="2307"/>
          </w:tcPr>
          <w:p>
            <w:pPr>
              <w:jc w:val="left"/>
            </w:pPr>
            <w:r>
              <w:rPr/>
              <w:t>人员职责分工方案 (6.0分)</w:t>
            </w:r>
            <w:r>
              <w:rPr/>
              <w:t>，（等次分值选择：</w:t>
            </w:r>
            <w:r>
              <w:rPr/>
              <w:t>0.0;</w:t>
            </w:r>
            <w:r>
              <w:rPr/>
              <w:t>1.0;</w:t>
            </w:r>
            <w:r>
              <w:rPr/>
              <w:t>2.0;</w:t>
            </w:r>
            <w:r>
              <w:rPr/>
              <w:t>4.0;</w:t>
            </w:r>
            <w:r>
              <w:rPr/>
              <w:t>6.0;</w:t>
            </w:r>
            <w:r>
              <w:rPr/>
              <w:t>）</w:t>
            </w:r>
          </w:p>
        </w:tc>
        <w:tc>
          <w:tcPr>
            <w:tcW w:type="dxa" w:w="5076"/>
          </w:tcPr>
          <w:p>
            <w:pPr>
              <w:jc w:val="left"/>
            </w:pPr>
            <w:r>
              <w:rPr/>
              <w:t>投标人针对本项目对拟投入本项目的人员进行职责分工及工作内容安排： 1.职责分工全面细致，方案针对性强的，能有效保障本项目实施，有利于实现服务效果的，得6分；  2.职责分工基本完整，方案有一定针对性的，能基本保障本项目服务实施，基本满足服务效果的，得4分； 3.职责分工不够全面细致，方案针对性不足，只能部分保障本项目服务实施或达到部分服务效果的，得2分； 4.职责分工不全面，无法保障本项目服务实施或无法达到服务效果的，得1分； 5.未提供人员职责分工方案的不得分。</w:t>
            </w:r>
          </w:p>
        </w:tc>
      </w:tr>
      <w:tr>
        <w:tc>
          <w:tcPr>
            <w:tcW w:type="dxa" w:w="922"/>
            <w:gridSpan w:val="2"/>
            <w:vMerge/>
          </w:tcPr>
          <w:p/>
        </w:tc>
        <w:tc>
          <w:tcPr>
            <w:tcW w:type="dxa" w:w="2307"/>
          </w:tcPr>
          <w:p>
            <w:pPr>
              <w:jc w:val="left"/>
            </w:pPr>
            <w:r>
              <w:rPr/>
              <w:t>售后服务方案 (6.0分)</w:t>
            </w:r>
            <w:r>
              <w:rPr/>
              <w:t>，（等次分值选择：</w:t>
            </w:r>
            <w:r>
              <w:rPr/>
              <w:t>0.0;</w:t>
            </w:r>
            <w:r>
              <w:rPr/>
              <w:t>2.0;</w:t>
            </w:r>
            <w:r>
              <w:rPr/>
              <w:t>4.0;</w:t>
            </w:r>
            <w:r>
              <w:rPr/>
              <w:t>6.0;</w:t>
            </w:r>
            <w:r>
              <w:rPr/>
              <w:t>）</w:t>
            </w:r>
          </w:p>
        </w:tc>
        <w:tc>
          <w:tcPr>
            <w:tcW w:type="dxa" w:w="5076"/>
          </w:tcPr>
          <w:p>
            <w:pPr>
              <w:jc w:val="left"/>
            </w:pPr>
            <w:r>
              <w:rPr/>
              <w:t>售后服务方案针对①应急响应时间安排；②质保期及质保期满后的承诺；③其它服务承诺等；  1.实施方案合理性、完整性强，具备可行性，能有效保障本项目实施，有利于实现服务效果的，得6分；  2.实施方案基本合理完整性，具备一定的可行性，能基本保障本项目服务实施，基本满足服务效果的，得4分；  3.实施方案合理性、完整性差，不具备可行性，无法保障本项目服务实施或无法达到服务效果的，得2分；  4.未提供实施方案不得分。</w:t>
            </w:r>
          </w:p>
        </w:tc>
      </w:tr>
      <w:tr>
        <w:tc>
          <w:tcPr>
            <w:tcW w:type="dxa" w:w="922"/>
            <w:gridSpan w:val="2"/>
            <w:vMerge w:val="restart"/>
          </w:tcPr>
          <w:p>
            <w:pPr>
              <w:jc w:val="center"/>
            </w:pPr>
            <w:r>
              <w:rPr/>
              <w:t>商务部分</w:t>
            </w:r>
          </w:p>
        </w:tc>
        <w:tc>
          <w:tcPr>
            <w:tcW w:type="dxa" w:w="2307"/>
          </w:tcPr>
          <w:p>
            <w:pPr>
              <w:jc w:val="left"/>
            </w:pPr>
            <w:r>
              <w:rPr/>
              <w:t>同类项目经验 (6.0分)</w:t>
            </w:r>
          </w:p>
        </w:tc>
        <w:tc>
          <w:tcPr>
            <w:tcW w:type="dxa" w:w="5076"/>
          </w:tcPr>
          <w:p>
            <w:pPr>
              <w:jc w:val="left"/>
            </w:pPr>
            <w:r>
              <w:rPr/>
              <w:t>投标人自2021年1月1日起（以合同签订时间为准）承担过同类服务项目业绩，每提供一个得1分，最高6分。 注：投标人须提供合同关键页扫描件（合同关键页包括：合同封面、服务内容页及双方签章页；加盖投标人公章）。同一项目不同年份的合同可重复计算业绩分数。</w:t>
            </w:r>
          </w:p>
        </w:tc>
      </w:tr>
      <w:tr>
        <w:tc>
          <w:tcPr>
            <w:tcW w:type="dxa" w:w="922"/>
            <w:gridSpan w:val="2"/>
            <w:vMerge/>
          </w:tcPr>
          <w:p/>
        </w:tc>
        <w:tc>
          <w:tcPr>
            <w:tcW w:type="dxa" w:w="2307"/>
          </w:tcPr>
          <w:p>
            <w:pPr>
              <w:jc w:val="left"/>
            </w:pPr>
            <w:r>
              <w:rPr/>
              <w:t>标准化项目能力 (4.0分)</w:t>
            </w:r>
          </w:p>
        </w:tc>
        <w:tc>
          <w:tcPr>
            <w:tcW w:type="dxa" w:w="5076"/>
          </w:tcPr>
          <w:p>
            <w:pPr>
              <w:jc w:val="left"/>
            </w:pPr>
            <w:r>
              <w:rPr/>
              <w:t>投标人取得相关的计算机软件著作权登记证书，每提供一个得1分，最高得4分。 注：需提供相关证明材料，不提供或专家无法认定的不得分。</w:t>
            </w:r>
          </w:p>
        </w:tc>
      </w:tr>
      <w:tr>
        <w:tc>
          <w:tcPr>
            <w:tcW w:type="dxa" w:w="922"/>
            <w:gridSpan w:val="2"/>
            <w:vMerge/>
          </w:tcPr>
          <w:p/>
        </w:tc>
        <w:tc>
          <w:tcPr>
            <w:tcW w:type="dxa" w:w="2307"/>
          </w:tcPr>
          <w:p>
            <w:pPr>
              <w:jc w:val="left"/>
            </w:pPr>
            <w:r>
              <w:rPr/>
              <w:t>拟投入本项目服务团队综合情况 (20.0分)</w:t>
            </w:r>
          </w:p>
        </w:tc>
        <w:tc>
          <w:tcPr>
            <w:tcW w:type="dxa" w:w="5076"/>
          </w:tcPr>
          <w:p>
            <w:pPr>
              <w:jc w:val="left"/>
            </w:pPr>
            <w:r>
              <w:rPr/>
              <w:t>①项目成员具有中级及以上职称，每提供一个得2.5分，最高得5分。提供相关人员的职称证书扫描件。  ②项目团队人员为12人，不得分；13-15人，得1分；16-19人，得3分；20人及以上，得5分，最高得5分。  ③项目团队人员具有硕士研究生或以上学历，每提供一个得1分，最高得10分。提供相关人员的学历证书扫描件。   注：提供上述人员在本单位任职的证明材料（如加盖所在地区政府有关部门印章的打印日期在本项目投标截止日之前六个月以内任一月的《投保单》或《社会保险参保人员证明》，或单位代缴个人所得税税单等），不提供不得分。</w:t>
            </w:r>
          </w:p>
        </w:tc>
      </w:tr>
      <w:tr>
        <w:tc>
          <w:tcPr>
            <w:tcW w:type="dxa" w:w="922"/>
            <w:gridSpan w:val="2"/>
            <w:vMerge/>
          </w:tcPr>
          <w:p/>
        </w:tc>
        <w:tc>
          <w:tcPr>
            <w:tcW w:type="dxa" w:w="2307"/>
          </w:tcPr>
          <w:p>
            <w:pPr>
              <w:jc w:val="left"/>
            </w:pPr>
            <w:r>
              <w:rPr/>
              <w:t>保障服务情况 (5.0分)</w:t>
            </w:r>
          </w:p>
        </w:tc>
        <w:tc>
          <w:tcPr>
            <w:tcW w:type="dxa" w:w="5076"/>
          </w:tcPr>
          <w:p>
            <w:pPr>
              <w:jc w:val="left"/>
            </w:pPr>
            <w:r>
              <w:rPr/>
              <w:t>投标人承诺项目履行期间，1小时（含）内到达现场处理突发状况，得5分； 3小时（含）内到达现场处理突发状况，得3分； 6小时（含）内到达现场处理突发状况，得1分。  其他情况不得分。   注：提供承诺函，不提供不得分。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color w:val="000000"/>
          <w:sz w:val="21"/>
        </w:rPr>
        <w:t>注：</w:t>
      </w:r>
      <w:r>
        <w:rPr>
          <w:b/>
          <w:color w:val="000000"/>
          <w:sz w:val="21"/>
        </w:rPr>
        <w:t>1、合同具体事项须根据采购文件的约定及乙方投标文件的承诺执行；</w:t>
      </w:r>
    </w:p>
    <w:p>
      <w:pPr>
        <w:ind w:firstLine="565"/>
        <w:jc w:val="left"/>
      </w:pPr>
      <w:r>
        <w:rPr>
          <w:b/>
          <w:color w:val="000000"/>
          <w:sz w:val="21"/>
        </w:rPr>
        <w:t>2、</w:t>
      </w:r>
      <w:r>
        <w:rPr>
          <w:b/>
          <w:color w:val="000000"/>
          <w:sz w:val="21"/>
        </w:rPr>
        <w:t>本项目合同为中小企业预留合同。</w:t>
      </w:r>
    </w:p>
    <w:p>
      <w:pPr>
        <w:jc w:val="both"/>
      </w:pPr>
    </w:p>
    <w:p>
      <w:pPr>
        <w:jc w:val="left"/>
      </w:pPr>
    </w:p>
    <w:p>
      <w:pPr>
        <w:jc w:val="center"/>
      </w:pPr>
      <w:r>
        <w:rPr>
          <w:b/>
          <w:color w:val="000000"/>
          <w:sz w:val="44"/>
        </w:rPr>
        <w:t>广东省标准化研究院</w:t>
      </w:r>
      <w:r>
        <w:rPr>
          <w:b/>
          <w:color w:val="000000"/>
          <w:sz w:val="44"/>
        </w:rPr>
        <w:t>2024</w:t>
      </w:r>
      <w:r>
        <w:rPr>
          <w:b/>
          <w:color w:val="000000"/>
          <w:sz w:val="44"/>
        </w:rPr>
        <w:t>年度标准化服务项目</w:t>
      </w:r>
    </w:p>
    <w:p>
      <w:pPr>
        <w:jc w:val="center"/>
      </w:pPr>
    </w:p>
    <w:p>
      <w:pPr>
        <w:jc w:val="center"/>
      </w:pPr>
    </w:p>
    <w:p>
      <w:pPr>
        <w:jc w:val="center"/>
      </w:pPr>
      <w:r>
        <w:rPr>
          <w:b/>
          <w:color w:val="000000"/>
          <w:sz w:val="72"/>
        </w:rPr>
        <w:t>合同书</w:t>
      </w:r>
    </w:p>
    <w:p>
      <w:pPr>
        <w:jc w:val="center"/>
      </w:pPr>
    </w:p>
    <w:p>
      <w:pPr>
        <w:jc w:val="center"/>
      </w:pPr>
    </w:p>
    <w:p>
      <w:pPr>
        <w:jc w:val="both"/>
      </w:pPr>
      <w:r>
        <w:rPr>
          <w:b/>
          <w:color w:val="000000"/>
          <w:sz w:val="28"/>
        </w:rPr>
        <w:t>项目名称：</w:t>
      </w:r>
      <w:r>
        <w:rPr>
          <w:b/>
          <w:sz w:val="21"/>
          <w:u w:val="single"/>
        </w:rPr>
        <w:t xml:space="preserve">                           </w:t>
      </w:r>
    </w:p>
    <w:p>
      <w:pPr>
        <w:jc w:val="both"/>
      </w:pPr>
      <w:r>
        <w:rPr>
          <w:b/>
          <w:color w:val="000000"/>
          <w:sz w:val="28"/>
        </w:rPr>
        <w:t>合同编号：</w:t>
      </w:r>
      <w:r>
        <w:rPr>
          <w:b/>
          <w:sz w:val="21"/>
          <w:u w:val="single"/>
        </w:rPr>
        <w:t xml:space="preserve">                           </w:t>
      </w:r>
    </w:p>
    <w:p>
      <w:pPr>
        <w:jc w:val="both"/>
      </w:pPr>
      <w:r>
        <w:rPr>
          <w:b/>
          <w:color w:val="000000"/>
          <w:sz w:val="28"/>
        </w:rPr>
        <w:t>签约地点：</w:t>
      </w:r>
      <w:r>
        <w:rPr>
          <w:b/>
          <w:sz w:val="21"/>
          <w:u w:val="single"/>
        </w:rPr>
        <w:t xml:space="preserve">                           </w:t>
      </w:r>
    </w:p>
    <w:p>
      <w:pPr>
        <w:jc w:val="both"/>
      </w:pPr>
      <w:r>
        <w:rPr>
          <w:b/>
          <w:color w:val="000000"/>
          <w:sz w:val="28"/>
        </w:rPr>
        <w:t>签订日期：</w:t>
      </w:r>
      <w:r>
        <w:rPr>
          <w:b/>
          <w:color w:val="000000"/>
          <w:sz w:val="28"/>
        </w:rPr>
        <w:t xml:space="preserve">     </w:t>
      </w:r>
      <w:r>
        <w:rPr>
          <w:b/>
          <w:color w:val="000000"/>
          <w:sz w:val="28"/>
        </w:rPr>
        <w:t>年</w:t>
      </w:r>
      <w:r>
        <w:rPr>
          <w:b/>
          <w:color w:val="000000"/>
          <w:sz w:val="28"/>
        </w:rPr>
        <w:t xml:space="preserve">  </w:t>
      </w:r>
      <w:r>
        <w:rPr>
          <w:b/>
          <w:color w:val="000000"/>
          <w:sz w:val="28"/>
        </w:rPr>
        <w:t>月</w:t>
      </w:r>
      <w:r>
        <w:rPr>
          <w:b/>
          <w:color w:val="000000"/>
          <w:sz w:val="28"/>
        </w:rPr>
        <w:t xml:space="preserve">   </w:t>
      </w:r>
      <w:r>
        <w:rPr>
          <w:b/>
          <w:color w:val="000000"/>
          <w:sz w:val="28"/>
        </w:rPr>
        <w:t>日</w:t>
      </w:r>
    </w:p>
    <w:p>
      <w:pPr>
        <w:jc w:val="both"/>
      </w:pPr>
    </w:p>
    <w:p>
      <w:pPr>
        <w:jc w:val="both"/>
      </w:pPr>
    </w:p>
    <w:p>
      <w:pPr>
        <w:jc w:val="both"/>
      </w:pPr>
    </w:p>
    <w:p>
      <w:pPr>
        <w:jc w:val="left"/>
      </w:pPr>
    </w:p>
    <w:p/>
    <w:p/>
    <w:p>
      <w:r>
        <w:rPr/>
        <w:t xml:space="preserve"> </w:t>
      </w:r>
    </w:p>
    <w:p>
      <w:pPr>
        <w:jc w:val="both"/>
      </w:pPr>
    </w:p>
    <w:p>
      <w:pPr>
        <w:jc w:val="both"/>
      </w:pPr>
      <w:r>
        <w:rPr>
          <w:b/>
          <w:color w:val="000000"/>
          <w:sz w:val="21"/>
        </w:rPr>
        <w:t>甲</w:t>
      </w:r>
      <w:r>
        <w:rPr>
          <w:b/>
          <w:color w:val="000000"/>
          <w:sz w:val="21"/>
        </w:rPr>
        <w:t xml:space="preserve">  </w:t>
      </w:r>
      <w:r>
        <w:rPr>
          <w:b/>
          <w:color w:val="000000"/>
          <w:sz w:val="21"/>
        </w:rPr>
        <w:t>方：</w:t>
      </w:r>
      <w:r>
        <w:rPr>
          <w:b/>
          <w:color w:val="000000"/>
          <w:sz w:val="21"/>
          <w:u w:val="single"/>
        </w:rPr>
        <w:t>广东省标准化研究院</w:t>
      </w:r>
    </w:p>
    <w:p>
      <w:pPr>
        <w:jc w:val="both"/>
      </w:pP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传</w:t>
      </w:r>
      <w:r>
        <w:rPr>
          <w:color w:val="000000"/>
          <w:sz w:val="21"/>
        </w:rPr>
        <w:t>真：</w:t>
      </w:r>
      <w:r>
        <w:rPr>
          <w:color w:val="000000"/>
          <w:sz w:val="21"/>
        </w:rPr>
        <w:t xml:space="preserve">         </w:t>
      </w:r>
      <w:r>
        <w:rPr>
          <w:color w:val="000000"/>
          <w:sz w:val="21"/>
        </w:rPr>
        <w:t>地</w:t>
      </w:r>
      <w:r>
        <w:rPr>
          <w:color w:val="000000"/>
          <w:sz w:val="21"/>
        </w:rPr>
        <w:t>址：</w:t>
      </w:r>
    </w:p>
    <w:p>
      <w:pPr>
        <w:jc w:val="both"/>
      </w:pPr>
      <w:r>
        <w:rPr>
          <w:b/>
          <w:color w:val="000000"/>
          <w:sz w:val="21"/>
        </w:rPr>
        <w:t>乙</w:t>
      </w:r>
      <w:r>
        <w:rPr>
          <w:b/>
          <w:color w:val="000000"/>
          <w:sz w:val="21"/>
        </w:rPr>
        <w:t xml:space="preserve">  </w:t>
      </w:r>
      <w:r>
        <w:rPr>
          <w:b/>
          <w:color w:val="000000"/>
          <w:sz w:val="21"/>
        </w:rPr>
        <w:t>方：</w:t>
      </w:r>
      <w:r>
        <w:rPr>
          <w:b/>
          <w:sz w:val="21"/>
          <w:u w:val="single"/>
        </w:rPr>
        <w:t xml:space="preserve">                  </w:t>
      </w:r>
      <w:r>
        <w:br/>
      </w: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传</w:t>
      </w:r>
      <w:r>
        <w:rPr>
          <w:color w:val="000000"/>
          <w:sz w:val="21"/>
        </w:rPr>
        <w:t>真：</w:t>
      </w:r>
      <w:r>
        <w:rPr>
          <w:color w:val="000000"/>
          <w:sz w:val="21"/>
        </w:rPr>
        <w:t xml:space="preserve">         </w:t>
      </w:r>
      <w:r>
        <w:rPr>
          <w:color w:val="000000"/>
          <w:sz w:val="21"/>
        </w:rPr>
        <w:t>地</w:t>
      </w:r>
      <w:r>
        <w:rPr>
          <w:color w:val="000000"/>
          <w:sz w:val="21"/>
        </w:rPr>
        <w:t>址：</w:t>
      </w:r>
      <w:r>
        <w:rPr>
          <w:color w:val="000000"/>
          <w:sz w:val="21"/>
        </w:rPr>
        <w:t xml:space="preserve"> </w:t>
      </w:r>
    </w:p>
    <w:p>
      <w:pPr>
        <w:jc w:val="both"/>
      </w:pPr>
    </w:p>
    <w:p>
      <w:pPr>
        <w:ind w:firstLine="420"/>
        <w:jc w:val="both"/>
      </w:pPr>
      <w:r>
        <w:rPr>
          <w:color w:val="000000"/>
          <w:sz w:val="21"/>
        </w:rPr>
        <w:t>根据</w:t>
      </w:r>
      <w:r>
        <w:rPr>
          <w:color w:val="000000"/>
          <w:sz w:val="21"/>
          <w:u w:val="single"/>
        </w:rPr>
        <w:t xml:space="preserve"> </w:t>
      </w:r>
      <w:r>
        <w:rPr>
          <w:color w:val="000000"/>
          <w:sz w:val="21"/>
          <w:u w:val="single"/>
        </w:rPr>
        <w:t>广东省标准化研究院</w:t>
      </w:r>
      <w:r>
        <w:rPr>
          <w:color w:val="000000"/>
          <w:sz w:val="21"/>
          <w:u w:val="single"/>
        </w:rPr>
        <w:t xml:space="preserve">2024年度标准化服务项目  </w:t>
      </w:r>
      <w:r>
        <w:rPr>
          <w:color w:val="000000"/>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jc w:val="both"/>
      </w:pPr>
      <w:r>
        <w:rPr>
          <w:b/>
          <w:color w:val="000000"/>
          <w:sz w:val="21"/>
        </w:rPr>
        <w:t>一、</w:t>
      </w:r>
      <w:r>
        <w:rPr>
          <w:b/>
          <w:color w:val="000000"/>
          <w:sz w:val="21"/>
        </w:rPr>
        <w:t>合同金额</w:t>
      </w:r>
    </w:p>
    <w:p>
      <w:pPr>
        <w:ind w:firstLine="420"/>
        <w:jc w:val="both"/>
      </w:pPr>
      <w:r>
        <w:rPr>
          <w:color w:val="000000"/>
          <w:sz w:val="21"/>
        </w:rPr>
        <w:t>合同金额为（大写）：</w:t>
      </w:r>
      <w:r>
        <w:rPr>
          <w:b/>
          <w:sz w:val="21"/>
          <w:u w:val="single"/>
        </w:rPr>
        <w:t xml:space="preserve">             </w:t>
      </w:r>
      <w:r>
        <w:rPr>
          <w:color w:val="000000"/>
          <w:sz w:val="21"/>
        </w:rPr>
        <w:t>元（￥</w:t>
      </w:r>
      <w:r>
        <w:rPr>
          <w:b/>
          <w:sz w:val="21"/>
          <w:u w:val="single"/>
        </w:rPr>
        <w:t xml:space="preserve">             </w:t>
      </w:r>
      <w:r>
        <w:rPr>
          <w:color w:val="000000"/>
          <w:sz w:val="21"/>
        </w:rPr>
        <w:t>元）人民币（含增值税）。</w:t>
      </w:r>
    </w:p>
    <w:p>
      <w:pPr>
        <w:jc w:val="both"/>
      </w:pPr>
      <w:r>
        <w:rPr>
          <w:b/>
          <w:color w:val="000000"/>
          <w:sz w:val="21"/>
        </w:rPr>
        <w:t>二、</w:t>
      </w:r>
      <w:r>
        <w:rPr>
          <w:b/>
          <w:color w:val="000000"/>
          <w:sz w:val="21"/>
        </w:rPr>
        <w:t>服务范围</w:t>
      </w:r>
    </w:p>
    <w:p>
      <w:pPr>
        <w:jc w:val="both"/>
      </w:pPr>
      <w:r>
        <w:rPr>
          <w:color w:val="000000"/>
          <w:sz w:val="21"/>
        </w:rPr>
        <w:t>　　甲方聘请乙方提供以下服务：</w:t>
      </w:r>
    </w:p>
    <w:p>
      <w:pPr>
        <w:ind w:firstLine="420"/>
        <w:jc w:val="both"/>
      </w:pPr>
      <w:r>
        <w:rPr>
          <w:color w:val="000000"/>
          <w:sz w:val="21"/>
        </w:rPr>
        <w:t>负责</w:t>
      </w:r>
      <w:r>
        <w:rPr>
          <w:color w:val="000000"/>
          <w:sz w:val="21"/>
        </w:rPr>
        <w:t>“双碳”信息服务平台优化和维护；负责标准信息服务平台升级和维护；负责标准化能力建设和服务提升；负责数字化驾驶舱建设和维护；负责建筑领域节能降碳标准指标挖掘；负责国外碳减排与绿色标准数据库建设；负责商品数据采集招标需求；负责条码管理系统维护及功能拓展招标需求；负责湿地领域标准化技术咨询服务；负责粤港澳大湾区标准信息公共服务平台安全优化和升级；负责标准研制及应用示范；负责科普展览标准化研究；负责国家技术标准创新基地（华南中心）2024年建设及运营；负责重点工业领域标准研制；负责基于灰色关联度的无人船安全风险模糊综合评价系统维护；负责广州市越秀区基本公共服务标准化服务平台维护；负责液态包装装备制造业标准化工作支撑；负责统一社会信用代码服务接口升级改造及维护；负责广东省标准馆多媒体硬件日常维护项目；负责产品质量安全风险信息分析及风险监测研究。</w:t>
      </w:r>
    </w:p>
    <w:p>
      <w:pPr>
        <w:jc w:val="both"/>
      </w:pPr>
      <w:r>
        <w:rPr>
          <w:b/>
          <w:color w:val="000000"/>
          <w:sz w:val="21"/>
        </w:rPr>
        <w:t>三、</w:t>
      </w:r>
      <w:r>
        <w:rPr>
          <w:b/>
          <w:color w:val="000000"/>
          <w:sz w:val="21"/>
        </w:rPr>
        <w:t>甲方乙方的权利和义务</w:t>
      </w:r>
    </w:p>
    <w:p>
      <w:pPr>
        <w:jc w:val="both"/>
      </w:pPr>
      <w:r>
        <w:rPr>
          <w:color w:val="000000"/>
          <w:sz w:val="21"/>
        </w:rPr>
        <w:t>（一）</w:t>
      </w:r>
      <w:r>
        <w:rPr>
          <w:color w:val="000000"/>
          <w:sz w:val="21"/>
        </w:rPr>
        <w:t>甲方的权利和义务</w:t>
      </w:r>
    </w:p>
    <w:p>
      <w:pPr>
        <w:ind w:firstLine="420"/>
        <w:jc w:val="both"/>
      </w:pPr>
      <w:r>
        <w:rPr>
          <w:color w:val="000000"/>
          <w:sz w:val="21"/>
        </w:rPr>
        <w:t>1、甲方有权要求乙方按照本合同约定的期限、质量标准完成技术服务项目，并享有乙方交付成果的全部权利。</w:t>
      </w:r>
    </w:p>
    <w:p>
      <w:pPr>
        <w:ind w:firstLine="420"/>
        <w:jc w:val="both"/>
      </w:pPr>
      <w:r>
        <w:rPr>
          <w:color w:val="000000"/>
          <w:sz w:val="21"/>
        </w:rPr>
        <w:t>2、甲方有权对乙方的工作进行监督，并根据实际情况对乙方的工作提出修改建议。</w:t>
      </w:r>
    </w:p>
    <w:p>
      <w:pPr>
        <w:ind w:firstLine="420"/>
        <w:jc w:val="both"/>
      </w:pPr>
      <w:r>
        <w:rPr>
          <w:color w:val="000000"/>
          <w:sz w:val="21"/>
        </w:rPr>
        <w:t>3、甲方应按合同付款方式付清乙方款项。</w:t>
      </w:r>
    </w:p>
    <w:p>
      <w:pPr>
        <w:jc w:val="both"/>
      </w:pPr>
      <w:r>
        <w:rPr>
          <w:color w:val="000000"/>
          <w:sz w:val="21"/>
        </w:rPr>
        <w:t>（二）</w:t>
      </w:r>
      <w:r>
        <w:rPr>
          <w:color w:val="000000"/>
          <w:sz w:val="21"/>
        </w:rPr>
        <w:t>乙方的权利和义务</w:t>
      </w:r>
    </w:p>
    <w:p>
      <w:pPr>
        <w:ind w:firstLine="420"/>
        <w:jc w:val="both"/>
      </w:pPr>
      <w:r>
        <w:rPr>
          <w:color w:val="000000"/>
          <w:sz w:val="21"/>
        </w:rPr>
        <w:t>1、乙方有权获得本合同约定的项目支付费用。</w:t>
      </w:r>
    </w:p>
    <w:p>
      <w:pPr>
        <w:ind w:firstLine="420"/>
        <w:jc w:val="both"/>
      </w:pPr>
      <w:r>
        <w:rPr>
          <w:color w:val="000000"/>
          <w:sz w:val="21"/>
        </w:rPr>
        <w:t>2、依本合同约定按时完成项目任务、交付项目成果，确保交付的技术成果达到合同约定标准，协助甲方做好成果归档等工作。</w:t>
      </w:r>
    </w:p>
    <w:p>
      <w:pPr>
        <w:ind w:firstLine="420"/>
        <w:jc w:val="both"/>
      </w:pPr>
      <w:r>
        <w:rPr>
          <w:color w:val="000000"/>
          <w:sz w:val="21"/>
        </w:rPr>
        <w:t>3、按本合同约定自行组织项目实施，未经甲方书面允许，不得变更项目内容，不得进行项目分包。</w:t>
      </w:r>
    </w:p>
    <w:p>
      <w:pPr>
        <w:ind w:firstLine="420"/>
        <w:jc w:val="both"/>
      </w:pPr>
      <w:r>
        <w:rPr>
          <w:color w:val="000000"/>
          <w:sz w:val="21"/>
        </w:rPr>
        <w:t>4、乙方收到甲方修改建议后，乙方应当按甲方要求进行整改。</w:t>
      </w:r>
    </w:p>
    <w:p>
      <w:pPr>
        <w:jc w:val="both"/>
      </w:pPr>
      <w:r>
        <w:rPr>
          <w:b/>
          <w:color w:val="000000"/>
          <w:sz w:val="21"/>
        </w:rPr>
        <w:t>四、</w:t>
      </w:r>
      <w:r>
        <w:rPr>
          <w:b/>
          <w:color w:val="000000"/>
          <w:sz w:val="21"/>
        </w:rPr>
        <w:t>服务期间（项目完成期限）</w:t>
      </w:r>
    </w:p>
    <w:p>
      <w:pPr>
        <w:ind w:firstLine="435"/>
        <w:jc w:val="both"/>
      </w:pPr>
      <w:r>
        <w:rPr>
          <w:color w:val="000000"/>
          <w:sz w:val="21"/>
        </w:rPr>
        <w:t>委托服务期间自</w:t>
      </w:r>
      <w:r>
        <w:rPr>
          <w:color w:val="000000"/>
          <w:sz w:val="21"/>
        </w:rPr>
        <w:t>______年______月至______年______月止。</w:t>
      </w:r>
    </w:p>
    <w:p>
      <w:pPr>
        <w:jc w:val="both"/>
      </w:pPr>
      <w:r>
        <w:rPr>
          <w:b/>
          <w:color w:val="000000"/>
          <w:sz w:val="21"/>
        </w:rPr>
        <w:t>五、</w:t>
      </w:r>
      <w:r>
        <w:rPr>
          <w:b/>
          <w:color w:val="000000"/>
          <w:sz w:val="21"/>
        </w:rPr>
        <w:t>付款方式</w:t>
      </w:r>
    </w:p>
    <w:p>
      <w:pPr>
        <w:ind w:firstLine="420"/>
        <w:jc w:val="both"/>
      </w:pPr>
      <w:r>
        <w:rPr>
          <w:color w:val="000000"/>
          <w:sz w:val="21"/>
        </w:rPr>
        <w:t>第</w:t>
      </w:r>
      <w:r>
        <w:rPr>
          <w:color w:val="000000"/>
          <w:sz w:val="21"/>
        </w:rPr>
        <w:t>1期：支付比例40%，支付说明：合同签订后</w:t>
      </w:r>
      <w:r>
        <w:rPr>
          <w:color w:val="000000"/>
          <w:sz w:val="21"/>
        </w:rPr>
        <w:t>5个工作日</w:t>
      </w:r>
      <w:r>
        <w:rPr>
          <w:color w:val="000000"/>
          <w:sz w:val="21"/>
        </w:rPr>
        <w:t>内支付。</w:t>
      </w:r>
    </w:p>
    <w:p>
      <w:pPr>
        <w:ind w:firstLine="420"/>
        <w:jc w:val="both"/>
      </w:pPr>
      <w:r>
        <w:rPr>
          <w:color w:val="000000"/>
          <w:sz w:val="21"/>
        </w:rPr>
        <w:t>第</w:t>
      </w:r>
      <w:r>
        <w:rPr>
          <w:color w:val="000000"/>
          <w:sz w:val="21"/>
        </w:rPr>
        <w:t>2期：支付比例30%，支付说明：2024年6月</w:t>
      </w:r>
      <w:r>
        <w:rPr>
          <w:color w:val="000000"/>
          <w:sz w:val="21"/>
        </w:rPr>
        <w:t>3</w:t>
      </w:r>
      <w:r>
        <w:rPr>
          <w:color w:val="000000"/>
          <w:sz w:val="21"/>
        </w:rPr>
        <w:t>0日</w:t>
      </w:r>
      <w:r>
        <w:rPr>
          <w:color w:val="000000"/>
          <w:sz w:val="21"/>
        </w:rPr>
        <w:t>前</w:t>
      </w:r>
      <w:r>
        <w:rPr>
          <w:color w:val="000000"/>
          <w:sz w:val="21"/>
        </w:rPr>
        <w:t>，完成项目</w:t>
      </w:r>
      <w:r>
        <w:rPr>
          <w:color w:val="000000"/>
          <w:sz w:val="21"/>
        </w:rPr>
        <w:t>中期</w:t>
      </w:r>
      <w:r>
        <w:rPr>
          <w:color w:val="000000"/>
          <w:sz w:val="21"/>
        </w:rPr>
        <w:t>验收，并向乙方支付合同金额的</w:t>
      </w:r>
      <w:r>
        <w:rPr>
          <w:color w:val="000000"/>
          <w:sz w:val="21"/>
        </w:rPr>
        <w:t>30%。如乙方不能通过甲方的项目</w:t>
      </w:r>
      <w:r>
        <w:rPr>
          <w:color w:val="000000"/>
          <w:sz w:val="21"/>
        </w:rPr>
        <w:t>中期</w:t>
      </w:r>
      <w:r>
        <w:rPr>
          <w:color w:val="000000"/>
          <w:sz w:val="21"/>
        </w:rPr>
        <w:t>验收，不予支付余下款项，并且乙方需退还已支付款项。甲方有权提前终止合同并追究乙方的违约责任。</w:t>
      </w:r>
    </w:p>
    <w:p>
      <w:pPr>
        <w:ind w:firstLine="420"/>
        <w:jc w:val="both"/>
      </w:pPr>
      <w:r>
        <w:rPr>
          <w:color w:val="000000"/>
          <w:sz w:val="21"/>
        </w:rPr>
        <w:t>第</w:t>
      </w:r>
      <w:r>
        <w:rPr>
          <w:color w:val="000000"/>
          <w:sz w:val="21"/>
        </w:rPr>
        <w:t>3期：支付比例20%，支付说明：2024年9月</w:t>
      </w:r>
      <w:r>
        <w:rPr>
          <w:color w:val="000000"/>
          <w:sz w:val="21"/>
        </w:rPr>
        <w:t>3</w:t>
      </w:r>
      <w:r>
        <w:rPr>
          <w:color w:val="000000"/>
          <w:sz w:val="21"/>
        </w:rPr>
        <w:t>0日</w:t>
      </w:r>
      <w:r>
        <w:rPr>
          <w:color w:val="000000"/>
          <w:sz w:val="21"/>
        </w:rPr>
        <w:t>前</w:t>
      </w:r>
      <w:r>
        <w:rPr>
          <w:color w:val="000000"/>
          <w:sz w:val="21"/>
        </w:rPr>
        <w:t>，完成项目验收，并向乙方支付合同金额的</w:t>
      </w:r>
      <w:r>
        <w:rPr>
          <w:color w:val="000000"/>
          <w:sz w:val="21"/>
        </w:rPr>
        <w:t>2</w:t>
      </w:r>
      <w:r>
        <w:rPr>
          <w:color w:val="000000"/>
          <w:sz w:val="21"/>
        </w:rPr>
        <w:t>0%。如乙方不能通过甲方的项目验收，不予支付余下款项，并且乙方需退还已支付款项。甲方有权提前终止合同并追究乙方的违约责任。</w:t>
      </w:r>
    </w:p>
    <w:p>
      <w:pPr>
        <w:ind w:firstLine="420"/>
        <w:jc w:val="both"/>
      </w:pPr>
      <w:r>
        <w:rPr>
          <w:color w:val="000000"/>
          <w:sz w:val="21"/>
        </w:rPr>
        <w:t>第</w:t>
      </w:r>
      <w:r>
        <w:rPr>
          <w:color w:val="000000"/>
          <w:sz w:val="21"/>
        </w:rPr>
        <w:t>4期：支付比例10%，支付说明：</w:t>
      </w:r>
      <w:r>
        <w:rPr>
          <w:color w:val="000000"/>
          <w:sz w:val="21"/>
        </w:rPr>
        <w:t>项目验收完成后，</w:t>
      </w:r>
      <w:r>
        <w:rPr>
          <w:color w:val="000000"/>
          <w:sz w:val="21"/>
        </w:rPr>
        <w:t>2</w:t>
      </w:r>
      <w:r>
        <w:rPr>
          <w:color w:val="000000"/>
          <w:sz w:val="21"/>
        </w:rPr>
        <w:t>024</w:t>
      </w:r>
      <w:r>
        <w:rPr>
          <w:color w:val="000000"/>
          <w:sz w:val="21"/>
        </w:rPr>
        <w:t>年度内</w:t>
      </w:r>
      <w:r>
        <w:rPr>
          <w:color w:val="000000"/>
          <w:sz w:val="21"/>
        </w:rPr>
        <w:t>支付。</w:t>
      </w:r>
    </w:p>
    <w:p>
      <w:pPr>
        <w:jc w:val="both"/>
      </w:pPr>
      <w:r>
        <w:rPr>
          <w:b/>
          <w:color w:val="000000"/>
          <w:sz w:val="21"/>
        </w:rPr>
        <w:t>六、</w:t>
      </w:r>
      <w:r>
        <w:rPr>
          <w:b/>
          <w:color w:val="000000"/>
          <w:sz w:val="21"/>
        </w:rPr>
        <w:t>项目验收评估</w:t>
      </w:r>
    </w:p>
    <w:p>
      <w:pPr>
        <w:ind w:firstLine="424"/>
        <w:jc w:val="left"/>
      </w:pPr>
      <w:r>
        <w:rPr>
          <w:color w:val="000000"/>
          <w:sz w:val="21"/>
        </w:rPr>
        <w:t>1.按合同要求完成</w:t>
      </w:r>
      <w:r>
        <w:rPr>
          <w:color w:val="000000"/>
          <w:sz w:val="21"/>
        </w:rPr>
        <w:t>“双碳”信息服务平台优化和维护；标准信息服务平台升级和维护；标准化能力建设和服务提升；数字化驾驶舱建设和维护；建筑领域节能降碳标准指标挖掘；国外碳减排与绿色标准数据库建设；商品数据采集招标需求；条码管理系统维护及功能拓展招标需求；湿地领域标准化技术咨询服务；粤港澳大湾区标准信息公共服务平台安全优化和升级；标准研制及应用示范；科普展览标准化研究；国家技术标准创新基地（华南中心）2024年建设及运营；重点工业领域标准研制；基于灰色关联度的无人船安全风险模糊综合评价系统维护；广州市越秀区基本公共服务标准化服务平台维护；液态包装装备制造业标准化工作支撑；统一社会信用代码服务接口升级改造及维护；广东省标准馆多媒体硬件日常维护项目；产品质量安全风险信息分析及风险监测研究，并按要求提供项目成果及相关验收材料。</w:t>
      </w:r>
    </w:p>
    <w:p>
      <w:pPr>
        <w:ind w:firstLine="420"/>
        <w:jc w:val="left"/>
      </w:pPr>
      <w:r>
        <w:rPr>
          <w:color w:val="000000"/>
          <w:sz w:val="21"/>
        </w:rPr>
        <w:t>2.</w:t>
      </w:r>
      <w:r>
        <w:rPr>
          <w:color w:val="000000"/>
          <w:sz w:val="21"/>
        </w:rPr>
        <w:t>具体要求以招标文件以及乙方的投标文件承诺为准，如招标文件与投标文件不一致时，以更有利于甲方的条款执行。</w:t>
      </w:r>
    </w:p>
    <w:p>
      <w:pPr>
        <w:jc w:val="both"/>
      </w:pPr>
      <w:r>
        <w:rPr>
          <w:b/>
          <w:color w:val="000000"/>
          <w:sz w:val="21"/>
        </w:rPr>
        <w:t>七、</w:t>
      </w:r>
      <w:r>
        <w:rPr>
          <w:b/>
          <w:color w:val="000000"/>
          <w:sz w:val="21"/>
        </w:rPr>
        <w:t>知识产权产权归属</w:t>
      </w:r>
    </w:p>
    <w:p>
      <w:pPr>
        <w:ind w:firstLine="420"/>
        <w:jc w:val="both"/>
      </w:pPr>
      <w:r>
        <w:rPr>
          <w:color w:val="000000"/>
          <w:sz w:val="21"/>
        </w:rPr>
        <w:t>乙方应保证本项目的投标技术、服务或其任何一部分不会产生因第三方提出侵犯其专利权、商标权或其他知识产权而引起的法律和经济纠纷，否则甲方有权解除合同，要求乙方承担违约责任，赔偿甲方的全部损失。如因第三方提出其专利权、商标权或其他知识产权的侵权之诉，则一切法律责任由乙方全部承担，如法律法规要求甲方先行垫付的，甲方有权向乙方全额追偿</w:t>
      </w:r>
      <w:r>
        <w:rPr>
          <w:color w:val="000000"/>
          <w:sz w:val="21"/>
        </w:rPr>
        <w:t>”。</w:t>
      </w:r>
    </w:p>
    <w:p>
      <w:pPr>
        <w:jc w:val="both"/>
      </w:pPr>
      <w:r>
        <w:rPr>
          <w:b/>
          <w:color w:val="000000"/>
          <w:sz w:val="21"/>
        </w:rPr>
        <w:t>八、</w:t>
      </w:r>
      <w:r>
        <w:rPr>
          <w:b/>
          <w:color w:val="000000"/>
          <w:sz w:val="21"/>
        </w:rPr>
        <w:t>保密</w:t>
      </w:r>
    </w:p>
    <w:p>
      <w:pPr>
        <w:ind w:firstLine="420"/>
        <w:jc w:val="both"/>
      </w:pPr>
      <w:r>
        <w:rPr>
          <w:color w:val="000000"/>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ind w:firstLine="420"/>
        <w:jc w:val="both"/>
      </w:pPr>
      <w:r>
        <w:rPr>
          <w:color w:val="000000"/>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20"/>
        <w:jc w:val="both"/>
      </w:pPr>
      <w:r>
        <w:rPr>
          <w:color w:val="000000"/>
          <w:sz w:val="21"/>
        </w:rPr>
        <w:t>2）除了合同本身之外，上款所列举的任何物件均是甲方的财产。乙方应当在完成合同后应将这些物件及全部复制件还给甲方，甲方同意由乙方持有的除外。</w:t>
      </w:r>
    </w:p>
    <w:p>
      <w:pPr>
        <w:jc w:val="both"/>
      </w:pPr>
      <w:r>
        <w:rPr>
          <w:b/>
          <w:color w:val="000000"/>
          <w:sz w:val="21"/>
        </w:rPr>
        <w:t>九、</w:t>
      </w:r>
      <w:r>
        <w:rPr>
          <w:b/>
          <w:color w:val="000000"/>
          <w:sz w:val="21"/>
        </w:rPr>
        <w:t>违约责任与赔偿损失</w:t>
      </w:r>
    </w:p>
    <w:p>
      <w:pPr>
        <w:ind w:firstLine="420"/>
        <w:jc w:val="both"/>
      </w:pPr>
      <w:r>
        <w:rPr>
          <w:color w:val="000000"/>
          <w:sz w:val="21"/>
        </w:rPr>
        <w:t>1) 乙方提供的服务不符合采购文件、投标文件或本合同规定的，甲方有权拒收，并且乙方须向甲方支付本合同总价5%的违约金，不足以弥补甲方损失的，甲方有权要求乙方补足。</w:t>
      </w:r>
    </w:p>
    <w:p>
      <w:pPr>
        <w:ind w:firstLine="420"/>
        <w:jc w:val="both"/>
      </w:pPr>
      <w:r>
        <w:rPr>
          <w:color w:val="000000"/>
          <w:sz w:val="21"/>
        </w:rPr>
        <w:t>2) 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color w:val="000000"/>
          <w:sz w:val="21"/>
        </w:rPr>
        <w:t>3) 甲方无正当理由拒绝接受服务，到期拒付服务款项的，从逾期之日起每日按本合同总价3‰的数额向乙方支付违约金，违约金的数额不超过本合同总价的5%。</w:t>
      </w:r>
    </w:p>
    <w:p>
      <w:pPr>
        <w:ind w:firstLine="420"/>
        <w:jc w:val="both"/>
      </w:pPr>
      <w:r>
        <w:rPr>
          <w:color w:val="000000"/>
          <w:sz w:val="21"/>
        </w:rPr>
        <w:t>4) 其它违约责任按《中华人民共和国民法典》第三编　合同处理。</w:t>
      </w:r>
    </w:p>
    <w:p>
      <w:pPr>
        <w:jc w:val="both"/>
      </w:pPr>
      <w:r>
        <w:rPr>
          <w:b/>
          <w:color w:val="000000"/>
          <w:sz w:val="21"/>
        </w:rPr>
        <w:t>十、</w:t>
      </w:r>
      <w:r>
        <w:rPr>
          <w:b/>
          <w:color w:val="000000"/>
          <w:sz w:val="21"/>
        </w:rPr>
        <w:t>争端的解决</w:t>
      </w:r>
    </w:p>
    <w:p>
      <w:pPr>
        <w:ind w:firstLine="420"/>
        <w:jc w:val="both"/>
      </w:pPr>
      <w:r>
        <w:rPr>
          <w:color w:val="000000"/>
          <w:sz w:val="21"/>
        </w:rPr>
        <w:t>合同执行过程中发生的任何争议，如双方不能通过友好协商解决，可向甲方所在地人民法院起诉。</w:t>
      </w:r>
    </w:p>
    <w:p>
      <w:pPr>
        <w:jc w:val="both"/>
      </w:pPr>
      <w:r>
        <w:rPr>
          <w:b/>
          <w:color w:val="000000"/>
          <w:sz w:val="21"/>
        </w:rPr>
        <w:t>十一、</w:t>
      </w:r>
      <w:r>
        <w:rPr>
          <w:b/>
          <w:color w:val="000000"/>
          <w:sz w:val="21"/>
        </w:rPr>
        <w:t>不可抗力</w:t>
      </w:r>
    </w:p>
    <w:p>
      <w:pPr>
        <w:ind w:firstLine="411"/>
        <w:jc w:val="both"/>
      </w:pPr>
      <w:r>
        <w:rPr>
          <w:color w:val="000000"/>
          <w:sz w:val="21"/>
        </w:rPr>
        <w:t>任何一方由于不可抗力原因不能履行合同时，应在不可抗力事件结束后</w:t>
      </w:r>
      <w:r>
        <w:rPr>
          <w:color w:val="000000"/>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十二、</w:t>
      </w:r>
      <w:r>
        <w:rPr>
          <w:b/>
          <w:color w:val="000000"/>
          <w:sz w:val="21"/>
        </w:rPr>
        <w:t>税费</w:t>
      </w:r>
    </w:p>
    <w:p>
      <w:pPr>
        <w:ind w:firstLine="411"/>
        <w:jc w:val="both"/>
      </w:pPr>
      <w:r>
        <w:rPr>
          <w:color w:val="000000"/>
          <w:sz w:val="21"/>
        </w:rPr>
        <w:t>在中国境内、外发生的与本合同执行有关的一切税费均由乙方负担。</w:t>
      </w:r>
    </w:p>
    <w:p>
      <w:pPr>
        <w:jc w:val="both"/>
      </w:pPr>
      <w:r>
        <w:rPr>
          <w:b/>
          <w:color w:val="000000"/>
          <w:sz w:val="21"/>
        </w:rPr>
        <w:t>十三、</w:t>
      </w:r>
      <w:r>
        <w:rPr>
          <w:b/>
          <w:color w:val="000000"/>
          <w:sz w:val="21"/>
        </w:rPr>
        <w:t>其它</w:t>
      </w:r>
    </w:p>
    <w:p>
      <w:pPr>
        <w:ind w:firstLine="411"/>
        <w:jc w:val="both"/>
      </w:pPr>
      <w:r>
        <w:rPr>
          <w:color w:val="000000"/>
          <w:sz w:val="21"/>
        </w:rPr>
        <w:t>1) 本合同所有附件、采购文件、投标文件、中标通知书均为合同的有效组成部分，与本合同具有同等法律效力。</w:t>
      </w:r>
    </w:p>
    <w:p>
      <w:pPr>
        <w:ind w:firstLine="411"/>
        <w:jc w:val="both"/>
      </w:pPr>
      <w:r>
        <w:rPr>
          <w:color w:val="000000"/>
          <w:sz w:val="21"/>
        </w:rPr>
        <w:t>2)在执行本合同的过程中，所有经双方签署确认的文件（包括会议纪要、补充协议、往来信函）即成为本合同的有效组成部分。</w:t>
      </w:r>
    </w:p>
    <w:p>
      <w:pPr>
        <w:ind w:firstLine="411"/>
        <w:jc w:val="both"/>
      </w:pPr>
      <w:r>
        <w:rPr>
          <w:color w:val="000000"/>
          <w:sz w:val="21"/>
        </w:rPr>
        <w:t>3) 如一方地址、电话、传真号码有变更，应在变更当日内书面通知对方，否则，应承担相应责任。</w:t>
      </w:r>
    </w:p>
    <w:p>
      <w:pPr>
        <w:ind w:firstLine="411"/>
        <w:jc w:val="both"/>
      </w:pPr>
      <w:r>
        <w:rPr>
          <w:color w:val="000000"/>
          <w:sz w:val="21"/>
        </w:rPr>
        <w:t>4) 除甲方事先书面同意外，乙方不得部分或全部转让其应履行的合同项下的义务。</w:t>
      </w:r>
    </w:p>
    <w:p>
      <w:pPr>
        <w:jc w:val="both"/>
      </w:pPr>
      <w:r>
        <w:rPr>
          <w:b/>
          <w:color w:val="000000"/>
          <w:sz w:val="21"/>
        </w:rPr>
        <w:t>十四、</w:t>
      </w:r>
      <w:r>
        <w:rPr>
          <w:b/>
          <w:color w:val="000000"/>
          <w:sz w:val="21"/>
        </w:rPr>
        <w:t>合同生效</w:t>
      </w:r>
    </w:p>
    <w:p>
      <w:pPr>
        <w:ind w:firstLine="411"/>
        <w:jc w:val="both"/>
      </w:pPr>
      <w:r>
        <w:rPr>
          <w:color w:val="000000"/>
          <w:sz w:val="21"/>
        </w:rPr>
        <w:t>1）本合同在甲乙双方法人代表或其授权代表签字盖章后生效。</w:t>
      </w:r>
    </w:p>
    <w:p>
      <w:pPr>
        <w:ind w:firstLine="411"/>
        <w:jc w:val="both"/>
      </w:pPr>
      <w:r>
        <w:rPr>
          <w:color w:val="000000"/>
          <w:sz w:val="21"/>
        </w:rPr>
        <w:t>2）合同一式</w:t>
      </w:r>
      <w:r>
        <w:rPr>
          <w:sz w:val="21"/>
          <w:u w:val="single"/>
        </w:rPr>
        <w:t xml:space="preserve">    </w:t>
      </w:r>
      <w:r>
        <w:rPr>
          <w:color w:val="000000"/>
          <w:sz w:val="21"/>
        </w:rPr>
        <w:t>份，其中甲方</w:t>
      </w:r>
      <w:r>
        <w:rPr>
          <w:sz w:val="21"/>
          <w:u w:val="single"/>
        </w:rPr>
        <w:t xml:space="preserve">    </w:t>
      </w:r>
      <w:r>
        <w:rPr>
          <w:color w:val="000000"/>
          <w:sz w:val="21"/>
        </w:rPr>
        <w:t>份，乙方</w:t>
      </w:r>
      <w:r>
        <w:rPr>
          <w:sz w:val="21"/>
          <w:u w:val="single"/>
        </w:rPr>
        <w:t xml:space="preserve">    </w:t>
      </w:r>
      <w:r>
        <w:rPr>
          <w:color w:val="000000"/>
          <w:sz w:val="21"/>
        </w:rPr>
        <w:t>份，监管部门壹份，采购代理机构</w:t>
      </w:r>
      <w:r>
        <w:rPr>
          <w:color w:val="000000"/>
          <w:sz w:val="21"/>
          <w:u w:val="single"/>
        </w:rPr>
        <w:t>壹</w:t>
      </w:r>
      <w:r>
        <w:rPr>
          <w:color w:val="000000"/>
          <w:sz w:val="21"/>
        </w:rPr>
        <w:t>份。</w:t>
      </w:r>
    </w:p>
    <w:p>
      <w:pPr>
        <w:jc w:val="both"/>
      </w:pPr>
    </w:p>
    <w:p>
      <w:pPr>
        <w:jc w:val="both"/>
      </w:pPr>
      <w:r>
        <w:rPr>
          <w:color w:val="000000"/>
          <w:sz w:val="21"/>
        </w:rPr>
        <w:t>甲方（盖章）：</w:t>
      </w:r>
      <w:r>
        <w:rPr>
          <w:color w:val="000000"/>
          <w:sz w:val="21"/>
        </w:rPr>
        <w:t xml:space="preserve">                       </w:t>
      </w:r>
      <w:r>
        <w:rPr>
          <w:color w:val="000000"/>
          <w:sz w:val="21"/>
        </w:rPr>
        <w:t>乙方（盖章）：</w:t>
      </w:r>
    </w:p>
    <w:p>
      <w:pPr>
        <w:jc w:val="both"/>
      </w:pPr>
      <w:r>
        <w:rPr>
          <w:color w:val="000000"/>
          <w:sz w:val="21"/>
        </w:rPr>
        <w:t>法定代表</w:t>
      </w:r>
      <w:r>
        <w:rPr>
          <w:color w:val="000000"/>
          <w:sz w:val="21"/>
        </w:rPr>
        <w:t>/授权代表（签字）：           法定代表/授权代表（签字）：</w:t>
      </w:r>
    </w:p>
    <w:p>
      <w:pPr>
        <w:jc w:val="both"/>
      </w:pPr>
      <w:r>
        <w:rPr>
          <w:color w:val="000000"/>
          <w:sz w:val="21"/>
        </w:rPr>
        <w:t>日期：</w:t>
      </w:r>
      <w:r>
        <w:rPr>
          <w:color w:val="000000"/>
          <w:sz w:val="21"/>
        </w:rPr>
        <w:t xml:space="preserve">                               </w:t>
      </w:r>
      <w:r>
        <w:rPr>
          <w:color w:val="000000"/>
          <w:sz w:val="21"/>
        </w:rPr>
        <w:t>日期：</w:t>
      </w:r>
    </w:p>
    <w:p>
      <w:pPr>
        <w:jc w:val="both"/>
      </w:pPr>
      <w:r>
        <w:rPr>
          <w:color w:val="000000"/>
          <w:sz w:val="21"/>
        </w:rPr>
        <w:t>邮政编码：</w:t>
      </w:r>
      <w:r>
        <w:rPr>
          <w:color w:val="000000"/>
          <w:sz w:val="21"/>
        </w:rPr>
        <w:t xml:space="preserve">                           </w:t>
      </w:r>
      <w:r>
        <w:rPr>
          <w:color w:val="000000"/>
          <w:sz w:val="21"/>
        </w:rPr>
        <w:t>邮政编码：</w:t>
      </w:r>
    </w:p>
    <w:p>
      <w:pPr>
        <w:jc w:val="both"/>
      </w:pPr>
      <w:r>
        <w:rPr>
          <w:color w:val="000000"/>
          <w:sz w:val="21"/>
        </w:rPr>
        <w:t>开户名称：</w:t>
      </w:r>
      <w:r>
        <w:rPr>
          <w:color w:val="000000"/>
          <w:sz w:val="21"/>
        </w:rPr>
        <w:t xml:space="preserve">                           </w:t>
      </w:r>
      <w:r>
        <w:rPr>
          <w:color w:val="000000"/>
          <w:sz w:val="21"/>
        </w:rPr>
        <w:t>开户名称：</w:t>
      </w:r>
    </w:p>
    <w:p>
      <w:pPr>
        <w:jc w:val="both"/>
      </w:pPr>
      <w:r>
        <w:rPr>
          <w:color w:val="000000"/>
          <w:sz w:val="21"/>
        </w:rPr>
        <w:t>开户银行：</w:t>
      </w:r>
      <w:r>
        <w:rPr>
          <w:color w:val="000000"/>
          <w:sz w:val="21"/>
        </w:rPr>
        <w:t xml:space="preserve">                           </w:t>
      </w:r>
      <w:r>
        <w:rPr>
          <w:color w:val="000000"/>
          <w:sz w:val="21"/>
        </w:rPr>
        <w:t>开户银行：</w:t>
      </w:r>
    </w:p>
    <w:p>
      <w:pPr>
        <w:jc w:val="both"/>
      </w:pPr>
      <w:r>
        <w:rPr>
          <w:color w:val="000000"/>
          <w:sz w:val="21"/>
        </w:rPr>
        <w:t>开户账号：</w:t>
      </w:r>
      <w:r>
        <w:rPr>
          <w:color w:val="000000"/>
          <w:sz w:val="21"/>
        </w:rPr>
        <w:t xml:space="preserve">                           </w:t>
      </w:r>
      <w:r>
        <w:rPr>
          <w:color w:val="000000"/>
          <w:sz w:val="21"/>
        </w:rPr>
        <w:t>开户账号：</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440001-2024-04594</w:t>
      </w:r>
    </w:p>
    <w:p>
      <w:pPr>
        <w:jc w:val="center"/>
      </w:pPr>
      <w:r>
        <w:rPr>
          <w:b/>
          <w:sz w:val="24"/>
        </w:rPr>
        <w:t>采购项目编号：</w:t>
      </w:r>
      <w:r>
        <w:rPr>
          <w:b/>
          <w:sz w:val="24"/>
        </w:rPr>
        <w:t>GZGK24P020C0080Z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广东省标准化研究院2024年度标准化服务项目</w:t>
      </w:r>
      <w:r>
        <w:rPr>
          <w:u w:val="single"/>
        </w:rPr>
        <w:t>”</w:t>
      </w:r>
      <w:r>
        <w:rPr/>
        <w:t>项目的招标[采购项目编号为：</w:t>
      </w:r>
      <w:r>
        <w:rPr>
          <w:u w:val="single"/>
        </w:rPr>
        <w:t>GZGK24P020C0080Z</w:t>
      </w:r>
      <w:r>
        <w:rPr/>
        <w:t>]，我方愿参与投标。</w:t>
      </w:r>
    </w:p>
    <w:p>
      <w:pPr>
        <w:ind w:firstLine="480"/>
      </w:pPr>
      <w:r>
        <w:rPr/>
        <w:t>我方确认收到贵方提供的</w:t>
      </w:r>
      <w:r>
        <w:rPr>
          <w:u w:val="single"/>
        </w:rPr>
        <w:t>“</w:t>
      </w:r>
      <w:r>
        <w:rPr>
          <w:u w:val="single"/>
        </w:rPr>
        <w:t>广东省标准化研究院2024年度标准化服务项目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广东省标准化研究院2024年度标准化服务项目</w:t>
      </w:r>
      <w:r>
        <w:rPr/>
        <w:t>”项目采购[采购项目编号为</w:t>
      </w:r>
      <w:r>
        <w:rPr/>
        <w:t>GZGK24P020C0080Z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广东省标准化研究院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广东省标准化研究院2024年度标准化服务项目</w:t>
      </w:r>
      <w:r>
        <w:rPr/>
        <w:t>招标中获中标（采购项目编号：</w:t>
      </w:r>
      <w:r>
        <w:rPr/>
        <w:t>GZGK24P020C0080Z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广东省标准化研究院2024年度标准化服务项目</w:t>
      </w:r>
      <w:r>
        <w:rPr/>
        <w:t>”项目（采购项目编号：</w:t>
      </w:r>
      <w:r>
        <w:rPr/>
        <w:t>GZGK24P020C0080Z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