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440001-2024-03313</w:t>
      </w:r>
    </w:p>
    <w:p>
      <w:pPr>
        <w:jc w:val="center"/>
      </w:pPr>
      <w:r>
        <w:rPr>
          <w:b/>
          <w:sz w:val="24"/>
        </w:rPr>
        <w:t>采购项目编号：</w:t>
      </w:r>
      <w:r>
        <w:rPr>
          <w:b/>
          <w:sz w:val="24"/>
        </w:rPr>
        <w:t>GZGK24P022A0093Z</w:t>
      </w:r>
    </w:p>
    <w:p>
      <w:pPr>
        <w:jc w:val="center"/>
      </w:pPr>
      <w:r>
        <w:rPr>
          <w:b/>
          <w:sz w:val="24"/>
        </w:rPr>
        <w:t>项目名称：</w:t>
      </w:r>
      <w:r>
        <w:rPr>
          <w:b/>
          <w:sz w:val="24"/>
        </w:rPr>
        <w:t>汕头大学2024年国内版图书、原版外文及港台图书和期刊采购项目（重招）</w:t>
      </w:r>
    </w:p>
    <w:p>
      <w:pPr>
        <w:jc w:val="center"/>
      </w:pPr>
      <w:r>
        <w:rPr>
          <w:b/>
          <w:sz w:val="24"/>
        </w:rPr>
        <w:t>采购人：</w:t>
      </w:r>
      <w:r>
        <w:rPr>
          <w:b/>
          <w:sz w:val="24"/>
        </w:rPr>
        <w:t>汕头大学</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w:t>
      </w:r>
      <w:r>
        <w:rPr/>
        <w:t>的委托，采用</w:t>
      </w:r>
      <w:r>
        <w:rPr/>
        <w:t>公开招标</w:t>
      </w:r>
      <w:r>
        <w:rPr/>
        <w:t>方式组织采购</w:t>
      </w:r>
      <w:r>
        <w:rPr/>
        <w:t>汕头大学2024年国内版图书、原版外文及港台图书和期刊采购项目（重招）</w:t>
      </w:r>
      <w:r>
        <w:rPr/>
        <w:t>。欢迎符合资格条件的国内供应商参加投标。</w:t>
      </w:r>
    </w:p>
    <w:p>
      <w:r>
        <w:rPr>
          <w:b/>
          <w:sz w:val="28"/>
        </w:rPr>
        <w:t>一.项目概述</w:t>
      </w:r>
    </w:p>
    <w:p>
      <w:r>
        <w:rPr>
          <w:b/>
          <w:sz w:val="24"/>
        </w:rPr>
        <w:t>1.名称与编号</w:t>
      </w:r>
    </w:p>
    <w:p>
      <w:pPr>
        <w:ind w:firstLine="480"/>
      </w:pPr>
      <w:r>
        <w:rPr/>
        <w:t>项目名称：</w:t>
      </w:r>
      <w:r>
        <w:rPr/>
        <w:t>汕头大学2024年国内版图书、原版外文及港台图书和期刊采购项目（重招）</w:t>
      </w:r>
    </w:p>
    <w:p>
      <w:pPr>
        <w:ind w:firstLine="480"/>
      </w:pPr>
      <w:r>
        <w:rPr/>
        <w:t>采购计划编号：</w:t>
      </w:r>
      <w:r>
        <w:rPr/>
        <w:t>440001-2024-03313</w:t>
      </w:r>
    </w:p>
    <w:p>
      <w:pPr>
        <w:ind w:firstLine="480"/>
      </w:pPr>
      <w:r>
        <w:rPr/>
        <w:t>采购项目编号：</w:t>
      </w:r>
      <w:r>
        <w:rPr/>
        <w:t>GZGK24P022A0093Z</w:t>
      </w:r>
    </w:p>
    <w:p>
      <w:pPr>
        <w:ind w:firstLine="480"/>
      </w:pPr>
      <w:r>
        <w:rPr/>
        <w:t>采购方式：</w:t>
      </w:r>
      <w:r>
        <w:rPr/>
        <w:t>公开招标</w:t>
      </w:r>
    </w:p>
    <w:p>
      <w:pPr>
        <w:ind w:firstLine="480"/>
      </w:pPr>
      <w:r>
        <w:rPr/>
        <w:t>预算金额：</w:t>
      </w:r>
      <w:r>
        <w:rPr/>
        <w:t>1,151,000.00</w:t>
      </w:r>
      <w:r>
        <w:rPr/>
        <w:t>元</w:t>
      </w:r>
    </w:p>
    <w:p>
      <w:r>
        <w:rPr>
          <w:b/>
          <w:sz w:val="24"/>
        </w:rPr>
        <w:t>2.项目内容及需求情况（采购项目技术规格、参数及要求）</w:t>
      </w:r>
    </w:p>
    <w:p>
      <w:pPr>
        <w:ind w:firstLine="480"/>
      </w:pPr>
    </w:p>
    <w:p/>
    <w:p>
      <w:r>
        <w:rPr/>
        <w:t>采购包1(原版外文及港台图书):</w:t>
      </w:r>
    </w:p>
    <w:p>
      <w:r>
        <w:rPr/>
        <w:t>采购包预算金额：500,000.00元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其他图书</w:t>
            </w:r>
          </w:p>
        </w:tc>
        <w:tc>
          <w:tcPr>
            <w:tcW w:type="dxa" w:w="2052"/>
          </w:tcPr>
          <w:p>
            <w:r>
              <w:rPr/>
              <w:t>原版外文及港台图书</w:t>
            </w:r>
          </w:p>
        </w:tc>
        <w:tc>
          <w:tcPr>
            <w:tcW w:type="dxa" w:w="977"/>
          </w:tcPr>
          <w:p>
            <w:r>
              <w:rPr/>
              <w:t>1.00(批)</w:t>
            </w:r>
          </w:p>
        </w:tc>
        <w:tc>
          <w:tcPr>
            <w:tcW w:type="dxa" w:w="977"/>
          </w:tcPr>
          <w:p>
            <w:r>
              <w:rPr/>
              <w:t>详见第二章</w:t>
            </w:r>
          </w:p>
        </w:tc>
        <w:tc>
          <w:tcPr>
            <w:tcW w:type="dxa" w:w="977"/>
          </w:tcPr>
          <w:p>
            <w:r>
              <w:rPr/>
              <w:t>500,000.00</w:t>
            </w:r>
          </w:p>
        </w:tc>
        <w:tc>
          <w:tcPr>
            <w:tcW w:type="dxa" w:w="977"/>
          </w:tcPr>
          <w:p>
            <w:r>
              <w:rPr/>
              <w:t>是</w:t>
            </w:r>
          </w:p>
        </w:tc>
      </w:tr>
    </w:tbl>
    <w:p/>
    <w:p>
      <w:r>
        <w:rPr/>
        <w:t>本采购包不接受联合体投标</w:t>
      </w:r>
    </w:p>
    <w:p/>
    <w:p>
      <w:r>
        <w:rPr/>
        <w:t>合同履行期限：见“标的提供时间”要求。</w:t>
      </w:r>
    </w:p>
    <w:p/>
    <w:p>
      <w:r>
        <w:rPr/>
        <w:t>采购包2(原版外文及港台期刊):</w:t>
      </w:r>
    </w:p>
    <w:p>
      <w:r>
        <w:rPr/>
        <w:t>采购包预算金额：651,000.00元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2-1</w:t>
            </w:r>
          </w:p>
        </w:tc>
        <w:tc>
          <w:tcPr>
            <w:tcW w:type="dxa" w:w="1368"/>
          </w:tcPr>
          <w:p>
            <w:r>
              <w:rPr/>
              <w:t>其他期刊</w:t>
            </w:r>
          </w:p>
        </w:tc>
        <w:tc>
          <w:tcPr>
            <w:tcW w:type="dxa" w:w="2052"/>
          </w:tcPr>
          <w:p>
            <w:r>
              <w:rPr/>
              <w:t>原版外文及港台期刊</w:t>
            </w:r>
          </w:p>
        </w:tc>
        <w:tc>
          <w:tcPr>
            <w:tcW w:type="dxa" w:w="977"/>
          </w:tcPr>
          <w:p>
            <w:r>
              <w:rPr/>
              <w:t>1.00(批)</w:t>
            </w:r>
          </w:p>
        </w:tc>
        <w:tc>
          <w:tcPr>
            <w:tcW w:type="dxa" w:w="977"/>
          </w:tcPr>
          <w:p>
            <w:r>
              <w:rPr/>
              <w:t>详见第二章</w:t>
            </w:r>
          </w:p>
        </w:tc>
        <w:tc>
          <w:tcPr>
            <w:tcW w:type="dxa" w:w="977"/>
          </w:tcPr>
          <w:p>
            <w:r>
              <w:rPr/>
              <w:t>651,000.00</w:t>
            </w:r>
          </w:p>
        </w:tc>
        <w:tc>
          <w:tcPr>
            <w:tcW w:type="dxa" w:w="977"/>
          </w:tcPr>
          <w:p>
            <w:r>
              <w:rPr/>
              <w:t>是</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3）具有良好的商业信誉和健全的财务会计制度：供应商必须具有良好的商业信誉和健全的财务会计制度（提供2022年度财务状况报告或2023年至今任意1个月的财务状况报告复印件或基本开户行出具的资信证明）。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采购包1（原版外文及港台图书）：</w:t>
      </w:r>
      <w:r>
        <w:rPr/>
        <w:t>本采购包整体不专门面向中小企业。</w:t>
      </w:r>
    </w:p>
    <w:p>
      <w:pPr>
        <w:jc w:val="left"/>
      </w:pPr>
    </w:p>
    <w:p>
      <w:r>
        <w:rPr/>
        <w:t>采购包2（原版外文及港台期刊）：</w:t>
      </w:r>
      <w:r>
        <w:rPr/>
        <w:t>本采购包整体不专门面向中小企业。</w:t>
      </w:r>
    </w:p>
    <w:p/>
    <w:p>
      <w:r>
        <w:rPr>
          <w:b/>
          <w:sz w:val="24"/>
        </w:rPr>
        <w:t>3.本项目特定的资格要求：</w:t>
      </w:r>
    </w:p>
    <w:p>
      <w:pPr>
        <w:ind w:firstLine="480"/>
      </w:pPr>
    </w:p>
    <w:p/>
    <w:p>
      <w:r>
        <w:rPr/>
        <w:t>采购包1（原版外文及港台图书）：</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p/>
    <w:p>
      <w:r>
        <w:rPr/>
        <w:t>3)已获取本项目采购文件。</w:t>
      </w:r>
    </w:p>
    <w:p/>
    <w:p>
      <w:r>
        <w:rPr/>
        <w:t>4)投标人具有在有效的《中华人民共和国出版物经营许可证》和《中华人民共和国出版物进口经营许可证》。</w:t>
      </w:r>
    </w:p>
    <w:p/>
    <w:p>
      <w:r>
        <w:rPr/>
        <w:t>采购包2（原版外文及港台期刊）：</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p/>
    <w:p>
      <w:r>
        <w:rPr/>
        <w:t>3)已获取本项目采购文件。</w:t>
      </w:r>
    </w:p>
    <w:p/>
    <w:p>
      <w:r>
        <w:rPr/>
        <w:t>4)投标人具有在有效的《中华人民共和国出版物经营许可证》和《中华人民共和国出版物进口经营许可证》。</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w:t>
      </w:r>
    </w:p>
    <w:p>
      <w:pPr>
        <w:ind w:firstLine="480"/>
      </w:pPr>
      <w:r>
        <w:rPr/>
        <w:t>地址：</w:t>
      </w:r>
      <w:r>
        <w:rPr/>
        <w:t>汕头市大学路243号</w:t>
      </w:r>
    </w:p>
    <w:p>
      <w:pPr>
        <w:ind w:firstLine="480"/>
      </w:pPr>
      <w:r>
        <w:rPr/>
        <w:t>联系方式：</w:t>
      </w:r>
      <w:r>
        <w:rPr/>
        <w:t>0754-86502559</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w:t>
      </w:r>
    </w:p>
    <w:p>
      <w:r>
        <w:rPr>
          <w:b/>
          <w:sz w:val="24"/>
        </w:rPr>
        <w:t>3.项目联系方式</w:t>
      </w:r>
    </w:p>
    <w:p>
      <w:pPr>
        <w:ind w:firstLine="480"/>
      </w:pPr>
      <w:r>
        <w:rPr/>
        <w:t>项目联系人：</w:t>
      </w:r>
      <w:r>
        <w:rPr/>
        <w:t>郑淇筠、陈奕宇</w:t>
      </w:r>
    </w:p>
    <w:p>
      <w:pPr>
        <w:ind w:firstLine="480"/>
      </w:pPr>
      <w:r>
        <w:rPr/>
        <w:t>电话：</w:t>
      </w:r>
      <w:r>
        <w:rPr/>
        <w:t>0754-87230486</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（一）项目编号：</w:t>
      </w:r>
      <w:r>
        <w:rPr>
          <w:sz w:val="21"/>
        </w:rPr>
        <w:t>GZGK24P022A0093Z</w:t>
      </w:r>
    </w:p>
    <w:p>
      <w:pPr>
        <w:jc w:val="both"/>
      </w:pPr>
      <w:r>
        <w:rPr>
          <w:b/>
          <w:sz w:val="21"/>
        </w:rPr>
        <w:t>（二）项目名称：</w:t>
      </w:r>
      <w:r>
        <w:rPr>
          <w:sz w:val="21"/>
        </w:rPr>
        <w:t>汕头大学2024年国内版图书、原版外文及港台图书和期刊采购项目（重招）</w:t>
      </w:r>
    </w:p>
    <w:p>
      <w:pPr>
        <w:jc w:val="both"/>
      </w:pPr>
      <w:r>
        <w:rPr>
          <w:b/>
          <w:sz w:val="21"/>
        </w:rPr>
        <w:t>（三）总体要求说明：</w:t>
      </w:r>
    </w:p>
    <w:p>
      <w:pPr>
        <w:jc w:val="both"/>
      </w:pPr>
      <w:r>
        <w:rPr>
          <w:sz w:val="21"/>
        </w:rPr>
        <w:t>1、标有“★”的条款为必须完全满足的实质性要求，投标人如有一项带“★”的条款未响应或负偏离，将按无效投标处理。</w:t>
      </w:r>
    </w:p>
    <w:p>
      <w:pPr>
        <w:jc w:val="both"/>
      </w:pPr>
      <w:r>
        <w:rPr>
          <w:sz w:val="21"/>
        </w:rPr>
        <w:t>2、标有“▲”的条款为重要性要求，投标人如有“▲”的条款未响应或负偏离的将被严重扣分。</w:t>
      </w:r>
    </w:p>
    <w:p>
      <w:pPr>
        <w:jc w:val="both"/>
      </w:pPr>
      <w:r>
        <w:rPr>
          <w:sz w:val="21"/>
        </w:rPr>
        <w:t>3、投标人必须承诺提供厂商原装、全新的、符合国家及用户提出的有关质量标准的货物。</w:t>
      </w:r>
    </w:p>
    <w:p>
      <w:pPr>
        <w:jc w:val="both"/>
      </w:pPr>
      <w:r>
        <w:rPr>
          <w:sz w:val="21"/>
        </w:rPr>
        <w:t>4、投标人应对采购需求中的产品性能和技术指标在响应详细内容中列出具体数值。如果投标人只注明“正偏离”或“无偏离”，将可能被视为“负偏离”，从而可能导致严重影响评标结果。</w:t>
      </w:r>
    </w:p>
    <w:p>
      <w:pPr>
        <w:jc w:val="both"/>
      </w:pPr>
      <w:r>
        <w:rPr>
          <w:sz w:val="21"/>
        </w:rPr>
        <w:t>5、投标人没有在投标文件中注明偏离（文字说明或在响应表注明）的参数、配置、条款视为被投标人完全接受。</w:t>
      </w:r>
    </w:p>
    <w:p>
      <w:pPr>
        <w:jc w:val="both"/>
      </w:pPr>
      <w:r>
        <w:rPr>
          <w:sz w:val="21"/>
        </w:rPr>
        <w:t>6、投标人应保证，采购人在中华人民共和国使用该货物或货物的任何一部分时，免受第三方提出的侵犯其专利权、商标权、著作权或其它知识产权的起诉。</w:t>
      </w:r>
    </w:p>
    <w:p>
      <w:pPr>
        <w:jc w:val="both"/>
      </w:pPr>
      <w:r>
        <w:rPr>
          <w:sz w:val="21"/>
        </w:rPr>
        <w:t>7、不允许中标供应商转包、分包项目的内容。</w:t>
      </w:r>
    </w:p>
    <w:p>
      <w:pPr>
        <w:jc w:val="both"/>
      </w:pPr>
      <w:r>
        <w:rPr>
          <w:sz w:val="21"/>
        </w:rPr>
        <w:t>8、小型和微型企业、监狱企业和残疾人福利性单位必须按照投标须知的内容提供相应的资料。</w:t>
      </w:r>
    </w:p>
    <w:p>
      <w:pPr>
        <w:jc w:val="both"/>
      </w:pPr>
      <w:r>
        <w:rPr>
          <w:sz w:val="21"/>
        </w:rPr>
        <w:t>9、需落实政府采购政策为：促进中小企业发展政策、支持监狱企业发展政策、支持残疾人福利性单位发展政策、优先采购节能产品、环境标志产品相关政策等。</w:t>
      </w:r>
    </w:p>
    <w:p>
      <w:pPr>
        <w:jc w:val="both"/>
      </w:pPr>
      <w:r>
        <w:rPr>
          <w:b/>
          <w:sz w:val="21"/>
        </w:rPr>
        <w:t>（四）其他说明：</w:t>
      </w:r>
    </w:p>
    <w:p>
      <w:pPr>
        <w:jc w:val="both"/>
      </w:pPr>
      <w:r>
        <w:rPr>
          <w:sz w:val="21"/>
        </w:rPr>
        <w:t>1、本项目开标方式为远程开标。参与全流程云平台采购项目的供应商登录云平台通过“新供应商开标大厅”进行签到及投标文件的解密，签到需在开标时间前30分钟内完成，不需要委派代表前往开标现场。但为了保证开标程序顺利、高效地完成，在疫情防控政策允许的前提下，投标人亦可委派代表携带CA-key、存储有非加密投标文件的U盘及纸质投标文件前往开标现场进行签到、解密。</w:t>
      </w:r>
    </w:p>
    <w:p>
      <w:pPr>
        <w:jc w:val="both"/>
      </w:pPr>
      <w:r>
        <w:rPr>
          <w:sz w:val="21"/>
        </w:rPr>
        <w:t>2、纸质投标文件及投标样品邮寄地址（邮寄地址：广州市先烈中路100号科学院大院9号楼东座2楼（中国广州分析测试中心对面），收件人及电话：详见项目公告的项目联系人）。投标人如选择邮寄投标文件及投标样品，请提前安排时间邮寄，务必保证投标文件及投标样品于提交投标文件截止时间前到达上述地址（以签收时间为准），并及时将快递单号发送至招标代理机构邮箱：</w:t>
      </w:r>
      <w:r>
        <w:rPr>
          <w:sz w:val="21"/>
        </w:rPr>
        <w:t>gzgk@gzgkbidding.com</w:t>
      </w:r>
      <w:r>
        <w:rPr>
          <w:sz w:val="21"/>
        </w:rPr>
        <w:t>。</w:t>
      </w:r>
    </w:p>
    <w:p>
      <w:pPr>
        <w:jc w:val="both"/>
      </w:pPr>
      <w:r>
        <w:rPr>
          <w:sz w:val="21"/>
        </w:rPr>
        <w:t>3、供应商电脑需提前安装CA签章客户端，并运行CA证书。</w:t>
      </w:r>
    </w:p>
    <w:p>
      <w:pPr>
        <w:jc w:val="both"/>
      </w:pPr>
      <w:r>
        <w:rPr>
          <w:sz w:val="21"/>
        </w:rPr>
        <w:t>4、请各投标人在编制投标文件时注意，涉及到签字或签章的地方，请按要求签字或签章后再上传系统。投标文件加密前请注意所有需要签字、签章、盖章的地方是否齐全无缺漏。请保管好CA证书的密码，如遗忘，请及时重置，以免影响投标文件的解密。</w:t>
      </w:r>
    </w:p>
    <w:p>
      <w:pPr>
        <w:jc w:val="both"/>
      </w:pPr>
      <w:r>
        <w:rPr>
          <w:b/>
          <w:sz w:val="21"/>
        </w:rPr>
        <w:t>（五）投标报价说明：</w:t>
      </w:r>
    </w:p>
    <w:p>
      <w:pPr>
        <w:jc w:val="both"/>
      </w:pPr>
      <w:r>
        <w:rPr>
          <w:sz w:val="21"/>
        </w:rPr>
        <w:t>1、</w:t>
      </w:r>
      <w:r>
        <w:rPr>
          <w:sz w:val="21"/>
        </w:rPr>
        <w:t>投标报价包括：书款、运输、</w:t>
      </w:r>
      <w:r>
        <w:rPr>
          <w:sz w:val="21"/>
        </w:rPr>
        <w:t>包装、</w:t>
      </w:r>
      <w:r>
        <w:rPr>
          <w:sz w:val="21"/>
        </w:rPr>
        <w:t>保险、投入人员费用（包括应付的工资和应缴纳的五险一金等费用）、图书加工费、组织现采活动所需要的费用、交通费、物耗费用、税费、利润、不可预见费等在项目实施过程中的全部费用，投标人报价中漏报、少报的费用，视为此项费用已隐含在投标报价中，中标后不得再向采购人收取任何费用</w:t>
      </w:r>
      <w:r>
        <w:rPr>
          <w:sz w:val="21"/>
        </w:rPr>
        <w:t>。</w:t>
      </w:r>
    </w:p>
    <w:p>
      <w:pPr>
        <w:jc w:val="both"/>
      </w:pPr>
      <w:r>
        <w:rPr>
          <w:sz w:val="21"/>
        </w:rPr>
        <w:t>2、投标报价（投标</w:t>
      </w:r>
      <w:r>
        <w:rPr>
          <w:sz w:val="21"/>
        </w:rPr>
        <w:t>折扣</w:t>
      </w:r>
      <w:r>
        <w:rPr>
          <w:sz w:val="21"/>
        </w:rPr>
        <w:t>）说明：投标综合折扣必须为固定报价（□□.□□％），不接受区间报价（例如□□.□□％～□□.□□％），在</w:t>
      </w:r>
      <w:r>
        <w:rPr>
          <w:sz w:val="21"/>
        </w:rPr>
        <w:t>报价区间要求</w:t>
      </w:r>
      <w:r>
        <w:rPr>
          <w:sz w:val="21"/>
        </w:rPr>
        <w:t>范围内取值，若报价超出此范围则响应无效。各种货物的采购数量按采购人实际需求。例如：货物基准价为100元，投标拟优惠20元，实际供货单价为80元，那么投标综合折扣则为：80.00/100.00*100%=80.00%。</w:t>
      </w:r>
    </w:p>
    <w:p>
      <w:pPr>
        <w:ind w:firstLine="210"/>
        <w:jc w:val="both"/>
      </w:pPr>
      <w:r>
        <w:rPr>
          <w:sz w:val="21"/>
        </w:rPr>
        <w:t>3、报价区间要求：</w:t>
      </w:r>
      <w:r>
        <w:rPr>
          <w:sz w:val="21"/>
        </w:rPr>
        <w:t>采购包1</w:t>
      </w:r>
      <w:r>
        <w:rPr>
          <w:sz w:val="21"/>
        </w:rPr>
        <w:t>：原版外文及港台图书的折扣率为0%-90%；</w:t>
      </w:r>
      <w:r>
        <w:rPr>
          <w:sz w:val="21"/>
        </w:rPr>
        <w:t>采购包2</w:t>
      </w:r>
      <w:r>
        <w:rPr>
          <w:sz w:val="21"/>
        </w:rPr>
        <w:t>：原版外文及港台期刊的折扣率为0%-94%。</w:t>
      </w:r>
    </w:p>
    <w:p>
      <w:pPr>
        <w:jc w:val="both"/>
      </w:pPr>
      <w:r>
        <w:rPr>
          <w:b/>
          <w:sz w:val="21"/>
        </w:rPr>
        <w:t>（</w:t>
      </w:r>
      <w:r>
        <w:rPr>
          <w:b/>
          <w:sz w:val="21"/>
        </w:rPr>
        <w:t>六</w:t>
      </w:r>
      <w:r>
        <w:rPr>
          <w:b/>
          <w:sz w:val="21"/>
        </w:rPr>
        <w:t>）实现的功能</w:t>
      </w:r>
    </w:p>
    <w:p>
      <w:pPr>
        <w:jc w:val="both"/>
      </w:pPr>
      <w:r>
        <w:rPr>
          <w:b/>
          <w:sz w:val="21"/>
        </w:rPr>
        <w:t xml:space="preserve">  </w:t>
      </w:r>
      <w:r>
        <w:rPr>
          <w:sz w:val="21"/>
        </w:rPr>
        <w:t xml:space="preserve"> 图书馆是学校的文献信息中心，每年均需采购各类纸质国内版图书，以满足学校教学及科研的需要。</w:t>
      </w:r>
    </w:p>
    <w:p>
      <w:pPr>
        <w:jc w:val="both"/>
      </w:pPr>
      <w:r>
        <w:rPr>
          <w:b/>
          <w:sz w:val="21"/>
        </w:rPr>
        <w:t>（</w:t>
      </w:r>
      <w:r>
        <w:rPr>
          <w:b/>
          <w:sz w:val="21"/>
        </w:rPr>
        <w:t>七</w:t>
      </w:r>
      <w:r>
        <w:rPr>
          <w:b/>
          <w:sz w:val="21"/>
        </w:rPr>
        <w:t>）需执行国家相关标准、行业标准、地方标准或者其他标准、规范</w:t>
      </w:r>
    </w:p>
    <w:p/>
    <w:p>
      <w:pPr>
        <w:ind w:firstLine="480"/>
      </w:pPr>
    </w:p>
    <w:p/>
    <w:p>
      <w:r>
        <w:rPr/>
        <w:t>采购包1（原版外文及港台图书）</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交货期：①现货：合同签订后，自收到采购人订单通知后30个日历天内完成交货100%；②期货：合同签订后，自收到采购人订单通知后6个月内完成交货量85%以上。</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合同有效期内，到馆图书经采购人验收合格，完成交付，中标人按图书码洋中标折扣率结算并提供专用发票，本项目共分为六次付款。每批次图书到货后，经采购人完成验收工作，需要退换书的办妥退换书手续，并经双方确认后，按结算价结算。结算价格已包含履行合同及本项目招标文件特别是其中“技术标准与要求”要求所有相关服务所需的服务费用及进口关税、进口环节增值税、消费税、其他费用等相关税费，采购人不再支付结算价格以外的其他任何费用。中标人提供国家税务部门监制的销售正式发票。 图书结算价（实洋）（人民币元）=图书原币价格×到馆日原币汇率×中标综合折扣率。 图书原币价格：以出版社标价或供应商进货单据为准。 到馆日原币汇率：指图书到馆当日的中国银行外汇卖出日均价，即当天（北京时间为准）中国银行网站上公布的相应外币的所有现汇卖出价记录之均值。采购人于收到发票15日内实洋付款。 支付方式：采用支票、银行汇付（含电汇）等形式。</w:t>
            </w:r>
          </w:p>
        </w:tc>
      </w:tr>
      <w:tr>
        <w:tc>
          <w:tcPr>
            <w:tcW w:type="dxa" w:w="4153"/>
          </w:tcPr>
          <w:p>
            <w:r>
              <w:rPr/>
              <w:t>验收要求</w:t>
            </w:r>
          </w:p>
        </w:tc>
        <w:tc>
          <w:tcPr>
            <w:tcW w:type="dxa" w:w="4153"/>
          </w:tcPr>
          <w:p/>
          <w:p/>
          <w:p/>
          <w:p>
            <w:r>
              <w:rPr/>
              <w:t>1期：图书验收以采购人最终的验收结果为准。 1、所有送达图书馆的图书的品种及复本数量均由采购人决定，中标供应商不得自行搭配和追加非采购人确认订购的品种和复本数量的图书。中标供应商强硬搭配的图书，采购人有权按学校规定的图书捐赠制度处理。 2、中标供应商须保证销售正版图书，保证所供应图书的版本与进书来源合法，并对所供应的图书版本、知识产权、进货来源承担相应的法律责任。如发现盗版现象，按盗版书涉及金额的100倍进行赔偿，并由中标供应商负全部法律责任。 3、如出现图书装订、印刷、缺页、少页和污损等不符合图书馆藏书要求的图书，中标供应商须在20天内无条件给予退换货。 4、图书要求无偿提供随书100%配套、且符合要求的标准CNMARC编目数据，编目数据以光盘或电子邮件方式提供，由采购人负责转入本馆系统。</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包装与运输，包装应用合适的材料，适用长途运输、防潮、防震、能够保证图书的完整。</w:t>
            </w:r>
          </w:p>
          <w:p/>
          <w:p>
            <w:r>
              <w:rPr/>
              <w:t>保险，货物从出厂运至采购人指定地点的保险费用须包含在投标报价中。</w:t>
            </w:r>
          </w:p>
          <w:p/>
          <w:p>
            <w:r>
              <w:rPr/>
              <w:t>质量保证，出现如下情况，中标供应商必须在3个工作日内无条件更换：图书/期刊装订或印刷质量有问题，如缺页、倒装、模糊不清、折页、开线、开胶等；图书/期刊总数与对应清单不符；出现污损情况；图书/期刊的附件如光盘等不齐全。</w:t>
            </w:r>
          </w:p>
          <w:p/>
          <w:p>
            <w:r>
              <w:rPr/>
              <w:t>售后服务，1. 中标供应商须专门指派一名业务人员，负责与采购人保持业务联系。 2. 中标供应商在投递的每批图书、期刊中应随货附送与货物数量、品种、价格相符的详细电脑清单及汇总单，以便于双方协调验收和避免出现漏发、错投的现象。 3. 对汇总单中漏发的图书、期刊，中标供应商必须立刻快递补齐。 4. 对延迟出版及取消出版图书、期刊，中标供应商应及时向出版机构查询交涉，并同步通报采购人。 5. 接采购人通知（含电话）后，中标供应商必须在一个工作日内作出反馈并提出处理问题的方案。</w:t>
            </w: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其他图书</w:t>
            </w:r>
          </w:p>
        </w:tc>
        <w:tc>
          <w:tcPr>
            <w:tcW w:type="dxa" w:w="748"/>
          </w:tcPr>
          <w:p>
            <w:pPr>
              <w:jc w:val="left"/>
            </w:pPr>
            <w:r>
              <w:rPr/>
              <w:t>原版外文及港台图书</w:t>
            </w:r>
          </w:p>
        </w:tc>
        <w:tc>
          <w:tcPr>
            <w:tcW w:type="dxa" w:w="748"/>
          </w:tcPr>
          <w:p>
            <w:pPr>
              <w:jc w:val="left"/>
            </w:pPr>
            <w:r>
              <w:rPr/>
              <w:t>批</w:t>
            </w:r>
          </w:p>
        </w:tc>
        <w:tc>
          <w:tcPr>
            <w:tcW w:type="dxa" w:w="748"/>
          </w:tcPr>
          <w:p>
            <w:pPr>
              <w:jc w:val="right"/>
            </w:pPr>
            <w:r>
              <w:rPr/>
              <w:t>1.00</w:t>
            </w:r>
          </w:p>
        </w:tc>
        <w:tc>
          <w:tcPr>
            <w:tcW w:type="dxa" w:w="748"/>
          </w:tcPr>
          <w:p>
            <w:pPr>
              <w:jc w:val="right"/>
            </w:pPr>
            <w:r>
              <w:rPr/>
              <w:t>500,000.00</w:t>
            </w:r>
          </w:p>
        </w:tc>
        <w:tc>
          <w:tcPr>
            <w:tcW w:type="dxa" w:w="748"/>
          </w:tcPr>
          <w:p>
            <w:pPr>
              <w:jc w:val="right"/>
            </w:pPr>
            <w:r>
              <w:rPr/>
              <w:t>500,000.00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原版外文及港台图书</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一、技术要求</w:t>
            </w:r>
          </w:p>
          <w:p>
            <w:pPr>
              <w:jc w:val="both"/>
            </w:pPr>
            <w:r>
              <w:rPr>
                <w:sz w:val="21"/>
              </w:rPr>
              <w:t>（一）图书要求</w:t>
            </w:r>
          </w:p>
          <w:p>
            <w:pPr>
              <w:jc w:val="both"/>
            </w:pPr>
            <w:r>
              <w:rPr>
                <w:sz w:val="21"/>
              </w:rPr>
              <w:t>1</w:t>
            </w:r>
            <w:r>
              <w:rPr>
                <w:sz w:val="21"/>
              </w:rPr>
              <w:t>、书目形态：供货商应提供完全符合</w:t>
            </w:r>
            <w:r>
              <w:rPr>
                <w:sz w:val="21"/>
              </w:rPr>
              <w:t>ISO-2709</w:t>
            </w:r>
            <w:r>
              <w:rPr>
                <w:sz w:val="21"/>
              </w:rPr>
              <w:t>标准、</w:t>
            </w:r>
            <w:r>
              <w:rPr>
                <w:sz w:val="21"/>
              </w:rPr>
              <w:t>CNMARC</w:t>
            </w:r>
            <w:r>
              <w:rPr>
                <w:sz w:val="21"/>
              </w:rPr>
              <w:t>标准和西文图书著录条例的电子版书目数据；</w:t>
            </w:r>
          </w:p>
          <w:p>
            <w:pPr>
              <w:jc w:val="both"/>
            </w:pPr>
            <w:r>
              <w:rPr>
                <w:sz w:val="21"/>
              </w:rPr>
              <w:t>2</w:t>
            </w:r>
            <w:r>
              <w:rPr>
                <w:sz w:val="21"/>
              </w:rPr>
              <w:t>、出版地范围：国外（欧美国家为主）出版的外文（英文为主）原版纸质图书及港台出版的纸质图书；</w:t>
            </w:r>
          </w:p>
          <w:p>
            <w:pPr>
              <w:jc w:val="both"/>
            </w:pPr>
            <w:r>
              <w:rPr>
                <w:sz w:val="21"/>
              </w:rPr>
              <w:t>3</w:t>
            </w:r>
            <w:r>
              <w:rPr>
                <w:sz w:val="21"/>
              </w:rPr>
              <w:t>、出版时间：</w:t>
            </w:r>
            <w:r>
              <w:rPr>
                <w:sz w:val="21"/>
              </w:rPr>
              <w:t>2022</w:t>
            </w:r>
            <w:r>
              <w:rPr>
                <w:sz w:val="21"/>
              </w:rPr>
              <w:t>年</w:t>
            </w:r>
            <w:r>
              <w:rPr>
                <w:sz w:val="21"/>
              </w:rPr>
              <w:t>1</w:t>
            </w:r>
            <w:r>
              <w:rPr>
                <w:sz w:val="21"/>
              </w:rPr>
              <w:t>月至今；</w:t>
            </w:r>
          </w:p>
          <w:p>
            <w:pPr>
              <w:jc w:val="both"/>
            </w:pPr>
            <w:r>
              <w:rPr>
                <w:sz w:val="21"/>
              </w:rPr>
              <w:t>4</w:t>
            </w:r>
            <w:r>
              <w:rPr>
                <w:sz w:val="21"/>
              </w:rPr>
              <w:t>、图书外观：开本大于</w:t>
            </w:r>
            <w:r>
              <w:rPr>
                <w:sz w:val="21"/>
              </w:rPr>
              <w:t>64</w:t>
            </w:r>
            <w:r>
              <w:rPr>
                <w:sz w:val="21"/>
              </w:rPr>
              <w:t>开、页数多于</w:t>
            </w:r>
            <w:r>
              <w:rPr>
                <w:sz w:val="21"/>
              </w:rPr>
              <w:t>50</w:t>
            </w:r>
            <w:r>
              <w:rPr>
                <w:sz w:val="21"/>
              </w:rPr>
              <w:t>页、非散页装图书。</w:t>
            </w:r>
          </w:p>
          <w:p>
            <w:pPr>
              <w:jc w:val="both"/>
            </w:pPr>
            <w:r>
              <w:rPr>
                <w:sz w:val="21"/>
              </w:rPr>
              <w:t>（二）采访书目数据要求</w:t>
            </w:r>
          </w:p>
          <w:p>
            <w:pPr>
              <w:jc w:val="both"/>
            </w:pPr>
            <w:r>
              <w:rPr>
                <w:sz w:val="21"/>
              </w:rPr>
              <w:t>1</w:t>
            </w:r>
            <w:r>
              <w:rPr>
                <w:sz w:val="21"/>
              </w:rPr>
              <w:t>、供货商应提供符合采购人学校图书馆采访要求的</w:t>
            </w:r>
            <w:r>
              <w:rPr>
                <w:sz w:val="21"/>
              </w:rPr>
              <w:t>CNMARC</w:t>
            </w:r>
            <w:r>
              <w:rPr>
                <w:sz w:val="21"/>
              </w:rPr>
              <w:t>格式的采访数据，采访书目中不得含有</w:t>
            </w:r>
            <w:r>
              <w:rPr>
                <w:sz w:val="21"/>
              </w:rPr>
              <w:t>856</w:t>
            </w:r>
            <w:r>
              <w:rPr>
                <w:sz w:val="21"/>
              </w:rPr>
              <w:t>、</w:t>
            </w:r>
            <w:r>
              <w:rPr>
                <w:sz w:val="21"/>
              </w:rPr>
              <w:t>905</w:t>
            </w:r>
            <w:r>
              <w:rPr>
                <w:sz w:val="21"/>
              </w:rPr>
              <w:t>字段；</w:t>
            </w:r>
          </w:p>
          <w:p>
            <w:pPr>
              <w:jc w:val="both"/>
            </w:pPr>
            <w:r>
              <w:rPr>
                <w:sz w:val="21"/>
              </w:rPr>
              <w:t>2</w:t>
            </w:r>
            <w:r>
              <w:rPr>
                <w:sz w:val="21"/>
              </w:rPr>
              <w:t>、一个采访书目文件，仅能含同一征订书目、同一期号的文件；</w:t>
            </w:r>
          </w:p>
          <w:p>
            <w:pPr>
              <w:jc w:val="both"/>
            </w:pPr>
            <w:r>
              <w:rPr>
                <w:sz w:val="21"/>
              </w:rPr>
              <w:t>3</w:t>
            </w:r>
            <w:r>
              <w:rPr>
                <w:sz w:val="21"/>
              </w:rPr>
              <w:t>、采访书目信息应著录在</w:t>
            </w:r>
            <w:r>
              <w:rPr>
                <w:sz w:val="21"/>
              </w:rPr>
              <w:t>092</w:t>
            </w:r>
            <w:r>
              <w:rPr>
                <w:sz w:val="21"/>
              </w:rPr>
              <w:t>字段，不得在其他字段反映。</w:t>
            </w:r>
          </w:p>
          <w:p>
            <w:pPr>
              <w:jc w:val="both"/>
            </w:pPr>
            <w:r>
              <w:rPr>
                <w:sz w:val="21"/>
              </w:rPr>
              <w:t>（三）编目书目数据要求</w:t>
            </w:r>
          </w:p>
          <w:p>
            <w:pPr>
              <w:jc w:val="both"/>
            </w:pPr>
            <w:r>
              <w:rPr>
                <w:sz w:val="21"/>
              </w:rPr>
              <w:t>1</w:t>
            </w:r>
            <w:r>
              <w:rPr>
                <w:sz w:val="21"/>
              </w:rPr>
              <w:t>、随书配送</w:t>
            </w:r>
            <w:r>
              <w:rPr>
                <w:sz w:val="21"/>
              </w:rPr>
              <w:t>CNMARC</w:t>
            </w:r>
            <w:r>
              <w:rPr>
                <w:sz w:val="21"/>
              </w:rPr>
              <w:t>编目数据，数据配送率须达</w:t>
            </w:r>
            <w:r>
              <w:rPr>
                <w:sz w:val="21"/>
              </w:rPr>
              <w:t>100%</w:t>
            </w:r>
            <w:r>
              <w:rPr>
                <w:sz w:val="21"/>
              </w:rPr>
              <w:t>。数据应达到国家图书馆数据标准。</w:t>
            </w:r>
          </w:p>
          <w:p>
            <w:pPr>
              <w:jc w:val="both"/>
            </w:pPr>
            <w:r>
              <w:rPr>
                <w:sz w:val="21"/>
              </w:rPr>
              <w:t>（四）书目数量和频率</w:t>
            </w:r>
          </w:p>
          <w:p>
            <w:pPr>
              <w:jc w:val="both"/>
            </w:pPr>
            <w:r>
              <w:rPr>
                <w:sz w:val="21"/>
              </w:rPr>
              <w:t>1</w:t>
            </w:r>
            <w:r>
              <w:rPr>
                <w:sz w:val="21"/>
              </w:rPr>
              <w:t>、中标供货商应积极收集书目，保证在合同期内每月至少提供一期现货新书书目，每期不少于</w:t>
            </w:r>
            <w:r>
              <w:rPr>
                <w:sz w:val="21"/>
              </w:rPr>
              <w:t>400</w:t>
            </w:r>
            <w:r>
              <w:rPr>
                <w:sz w:val="21"/>
              </w:rPr>
              <w:t>种。</w:t>
            </w:r>
          </w:p>
          <w:p>
            <w:pPr>
              <w:jc w:val="both"/>
            </w:pPr>
            <w:r>
              <w:rPr>
                <w:sz w:val="21"/>
              </w:rPr>
              <w:t>2</w:t>
            </w:r>
            <w:r>
              <w:rPr>
                <w:sz w:val="21"/>
              </w:rPr>
              <w:t>、中标供货商应接受采购人提供的零散订单并积极配书。</w:t>
            </w:r>
          </w:p>
          <w:p>
            <w:pPr>
              <w:jc w:val="both"/>
            </w:pPr>
            <w:r>
              <w:rPr>
                <w:sz w:val="21"/>
              </w:rPr>
              <w:t>（五）到书率</w:t>
            </w:r>
          </w:p>
          <w:p>
            <w:pPr>
              <w:jc w:val="both"/>
            </w:pPr>
            <w:r>
              <w:rPr>
                <w:sz w:val="21"/>
              </w:rPr>
              <w:t>1</w:t>
            </w:r>
            <w:r>
              <w:rPr>
                <w:sz w:val="21"/>
              </w:rPr>
              <w:t>、中标供应商应保证图书的到书率从质和量上准确无误，高效快捷，无误投。到书率须达到</w:t>
            </w:r>
            <w:r>
              <w:rPr>
                <w:sz w:val="21"/>
              </w:rPr>
              <w:t>90%</w:t>
            </w:r>
            <w:r>
              <w:rPr>
                <w:sz w:val="21"/>
              </w:rPr>
              <w:t>（取消出版计划等情况除外）。</w:t>
            </w:r>
          </w:p>
          <w:p>
            <w:pPr>
              <w:jc w:val="both"/>
            </w:pPr>
            <w:r>
              <w:rPr>
                <w:sz w:val="21"/>
              </w:rPr>
              <w:t>（六）订准率</w:t>
            </w:r>
          </w:p>
          <w:p>
            <w:pPr>
              <w:jc w:val="both"/>
            </w:pPr>
            <w:r>
              <w:rPr>
                <w:sz w:val="21"/>
              </w:rPr>
              <w:t>1</w:t>
            </w:r>
            <w:r>
              <w:rPr>
                <w:sz w:val="21"/>
              </w:rPr>
              <w:t>、要求供应商严格按照订单发书，不允许任意搭配图书，非采购人订购的图书一律退回。</w:t>
            </w:r>
          </w:p>
          <w:p>
            <w:pPr>
              <w:jc w:val="both"/>
            </w:pPr>
            <w:r>
              <w:rPr>
                <w:sz w:val="21"/>
              </w:rPr>
              <w:t>（七）涨价率</w:t>
            </w:r>
          </w:p>
          <w:p>
            <w:pPr>
              <w:jc w:val="both"/>
            </w:pPr>
            <w:r>
              <w:rPr>
                <w:sz w:val="21"/>
              </w:rPr>
              <w:t>1</w:t>
            </w:r>
            <w:r>
              <w:rPr>
                <w:sz w:val="21"/>
              </w:rPr>
              <w:t>、图书实际出版价格上涨超过征订目录价格</w:t>
            </w:r>
            <w:r>
              <w:rPr>
                <w:sz w:val="21"/>
              </w:rPr>
              <w:t>40</w:t>
            </w:r>
            <w:r>
              <w:rPr>
                <w:sz w:val="21"/>
              </w:rPr>
              <w:t>％应通知采购人，询问是否继续订购。</w:t>
            </w:r>
          </w:p>
          <w:p>
            <w:pPr>
              <w:jc w:val="both"/>
            </w:pPr>
            <w:r>
              <w:rPr>
                <w:sz w:val="21"/>
              </w:rPr>
              <w:t>（</w:t>
            </w:r>
            <w:r>
              <w:rPr>
                <w:sz w:val="21"/>
              </w:rPr>
              <w:t>八</w:t>
            </w:r>
            <w:r>
              <w:rPr>
                <w:sz w:val="21"/>
              </w:rPr>
              <w:t>）</w:t>
            </w:r>
            <w:r>
              <w:rPr>
                <w:sz w:val="21"/>
              </w:rPr>
              <w:t>到货周期</w:t>
            </w:r>
          </w:p>
          <w:p>
            <w:pPr>
              <w:jc w:val="both"/>
            </w:pPr>
            <w:r>
              <w:rPr>
                <w:sz w:val="21"/>
              </w:rPr>
              <w:t>1</w:t>
            </w:r>
            <w:r>
              <w:rPr>
                <w:sz w:val="21"/>
              </w:rPr>
              <w:t>、现货：收到订单后</w:t>
            </w:r>
            <w:r>
              <w:rPr>
                <w:sz w:val="21"/>
              </w:rPr>
              <w:t>30</w:t>
            </w:r>
            <w:r>
              <w:rPr>
                <w:sz w:val="21"/>
              </w:rPr>
              <w:t>天内交货</w:t>
            </w:r>
            <w:r>
              <w:rPr>
                <w:sz w:val="21"/>
              </w:rPr>
              <w:t>100%</w:t>
            </w:r>
            <w:r>
              <w:rPr>
                <w:sz w:val="21"/>
              </w:rPr>
              <w:t>。</w:t>
            </w:r>
          </w:p>
          <w:p>
            <w:pPr>
              <w:jc w:val="both"/>
            </w:pPr>
            <w:r>
              <w:rPr>
                <w:sz w:val="21"/>
              </w:rPr>
              <w:t>2</w:t>
            </w:r>
            <w:r>
              <w:rPr>
                <w:sz w:val="21"/>
              </w:rPr>
              <w:t>、期货：收到订单</w:t>
            </w:r>
            <w:r>
              <w:rPr>
                <w:sz w:val="21"/>
              </w:rPr>
              <w:t>6</w:t>
            </w:r>
            <w:r>
              <w:rPr>
                <w:sz w:val="21"/>
              </w:rPr>
              <w:t>个月内到书</w:t>
            </w:r>
            <w:r>
              <w:rPr>
                <w:sz w:val="21"/>
              </w:rPr>
              <w:t>85%</w:t>
            </w:r>
            <w:r>
              <w:rPr>
                <w:sz w:val="21"/>
              </w:rPr>
              <w:t>以上。</w:t>
            </w:r>
          </w:p>
          <w:p>
            <w:pPr>
              <w:jc w:val="both"/>
            </w:pPr>
            <w:r>
              <w:rPr>
                <w:sz w:val="21"/>
              </w:rPr>
              <w:t>二、服务要求</w:t>
            </w:r>
          </w:p>
          <w:p>
            <w:pPr>
              <w:jc w:val="both"/>
            </w:pPr>
            <w:r>
              <w:rPr>
                <w:sz w:val="21"/>
              </w:rPr>
              <w:t>(</w:t>
            </w:r>
            <w:r>
              <w:rPr>
                <w:sz w:val="21"/>
              </w:rPr>
              <w:t>一</w:t>
            </w:r>
            <w:r>
              <w:rPr>
                <w:sz w:val="21"/>
              </w:rPr>
              <w:t>)</w:t>
            </w:r>
            <w:r>
              <w:rPr>
                <w:sz w:val="21"/>
              </w:rPr>
              <w:t>供货要求</w:t>
            </w:r>
          </w:p>
          <w:p>
            <w:pPr>
              <w:jc w:val="both"/>
            </w:pPr>
            <w:r>
              <w:rPr>
                <w:sz w:val="21"/>
              </w:rPr>
              <w:t>1</w:t>
            </w:r>
            <w:r>
              <w:rPr>
                <w:sz w:val="21"/>
              </w:rPr>
              <w:t>、</w:t>
            </w:r>
            <w:r>
              <w:rPr>
                <w:sz w:val="21"/>
              </w:rPr>
              <w:t>中标人</w:t>
            </w:r>
            <w:r>
              <w:rPr>
                <w:sz w:val="21"/>
              </w:rPr>
              <w:t>在每批图书发货一天前用电话或</w:t>
            </w:r>
            <w:r>
              <w:rPr>
                <w:sz w:val="21"/>
              </w:rPr>
              <w:t>Email</w:t>
            </w:r>
            <w:r>
              <w:rPr>
                <w:sz w:val="21"/>
              </w:rPr>
              <w:t>形式通知采购人并负责送书上门，所有图书必须按满足运输距离、防湿和防破损等运输和装卸要求打包送到采购单位指定地点（供货商提供</w:t>
            </w:r>
            <w:r>
              <w:rPr>
                <w:sz w:val="21"/>
              </w:rPr>
              <w:t>无条件</w:t>
            </w:r>
            <w:r>
              <w:rPr>
                <w:sz w:val="21"/>
              </w:rPr>
              <w:t>送书、卸货、搬运等），并提供纸质图书发货清单，一包一单，一式两份。</w:t>
            </w:r>
          </w:p>
          <w:p>
            <w:pPr>
              <w:jc w:val="both"/>
            </w:pPr>
            <w:r>
              <w:rPr>
                <w:sz w:val="21"/>
              </w:rPr>
              <w:t>2</w:t>
            </w:r>
            <w:r>
              <w:rPr>
                <w:sz w:val="21"/>
              </w:rPr>
              <w:t>、发货清单应包括下列项目：购货单位、批次、制单日期、箱号、书名、</w:t>
            </w:r>
            <w:r>
              <w:rPr>
                <w:sz w:val="21"/>
              </w:rPr>
              <w:t>ISBN</w:t>
            </w:r>
            <w:r>
              <w:rPr>
                <w:sz w:val="21"/>
              </w:rPr>
              <w:t>、出版社、单价、册数、码洋、书目号等。每包有小计，包括种数、册数、本包码洋。</w:t>
            </w:r>
          </w:p>
          <w:p>
            <w:pPr>
              <w:jc w:val="both"/>
            </w:pPr>
            <w:r>
              <w:rPr>
                <w:sz w:val="21"/>
              </w:rPr>
              <w:t>3</w:t>
            </w:r>
            <w:r>
              <w:rPr>
                <w:sz w:val="21"/>
              </w:rPr>
              <w:t>、整批图书有合计，合计内容为此批图书的总种数、总册数和总码洋。</w:t>
            </w:r>
          </w:p>
          <w:p>
            <w:pPr>
              <w:jc w:val="both"/>
            </w:pPr>
            <w:r>
              <w:rPr>
                <w:sz w:val="21"/>
              </w:rPr>
              <w:t>4</w:t>
            </w:r>
            <w:r>
              <w:rPr>
                <w:sz w:val="21"/>
              </w:rPr>
              <w:t>、一份清单分别附于各包装货件内，另一份是以箱号为序的总清单，货单相符。</w:t>
            </w:r>
          </w:p>
          <w:p>
            <w:pPr>
              <w:jc w:val="both"/>
            </w:pPr>
            <w:r>
              <w:rPr>
                <w:sz w:val="21"/>
              </w:rPr>
              <w:t>（二）图书质量</w:t>
            </w:r>
          </w:p>
          <w:p>
            <w:pPr>
              <w:jc w:val="both"/>
            </w:pPr>
            <w:r>
              <w:rPr>
                <w:sz w:val="21"/>
              </w:rPr>
              <w:t>1</w:t>
            </w:r>
            <w:r>
              <w:rPr>
                <w:sz w:val="21"/>
              </w:rPr>
              <w:t>、投标人须保证销售正版图书，对盗版图书采购人拒绝验收，供货商应当接受无条件退货，并承担一切法律责任，由此而造成采购人</w:t>
            </w:r>
            <w:r>
              <w:rPr>
                <w:sz w:val="21"/>
              </w:rPr>
              <w:t>向行政机关或第三人承担行政、民事责任或有其他</w:t>
            </w:r>
            <w:r>
              <w:rPr>
                <w:sz w:val="21"/>
              </w:rPr>
              <w:t>损失的，供货商须给予相应的赔偿</w:t>
            </w:r>
            <w:r>
              <w:rPr>
                <w:sz w:val="21"/>
              </w:rPr>
              <w:t>，</w:t>
            </w:r>
            <w:r>
              <w:rPr>
                <w:sz w:val="21"/>
              </w:rPr>
              <w:t>采购人有权向中标供应商追偿</w:t>
            </w:r>
            <w:r>
              <w:rPr>
                <w:sz w:val="21"/>
              </w:rPr>
              <w:t>。</w:t>
            </w:r>
          </w:p>
          <w:p>
            <w:pPr>
              <w:jc w:val="both"/>
            </w:pPr>
            <w:r>
              <w:rPr>
                <w:sz w:val="21"/>
              </w:rPr>
              <w:t>2</w:t>
            </w:r>
            <w:r>
              <w:rPr>
                <w:sz w:val="21"/>
              </w:rPr>
              <w:t>、图书到货后发现任何质量问题，如破损、重订或者投递与所订品种、复本数量、随刊光盘</w:t>
            </w:r>
            <w:r>
              <w:rPr>
                <w:sz w:val="21"/>
              </w:rPr>
              <w:t>/</w:t>
            </w:r>
            <w:r>
              <w:rPr>
                <w:sz w:val="21"/>
              </w:rPr>
              <w:t>磁盘</w:t>
            </w:r>
            <w:r>
              <w:rPr>
                <w:sz w:val="21"/>
              </w:rPr>
              <w:t>/</w:t>
            </w:r>
            <w:r>
              <w:rPr>
                <w:sz w:val="21"/>
              </w:rPr>
              <w:t>磁带等不符的情况时，无论是否已作前期加工，投标人应全部无条件退换。</w:t>
            </w:r>
            <w:r>
              <w:rPr>
                <w:sz w:val="21"/>
              </w:rPr>
              <w:t>退换产生的费用由</w:t>
            </w:r>
            <w:r>
              <w:rPr>
                <w:sz w:val="21"/>
              </w:rPr>
              <w:t>中标供应商</w:t>
            </w:r>
            <w:r>
              <w:rPr>
                <w:sz w:val="21"/>
              </w:rPr>
              <w:t>承担。</w:t>
            </w:r>
          </w:p>
          <w:p>
            <w:pPr>
              <w:jc w:val="both"/>
            </w:pPr>
            <w:r>
              <w:rPr>
                <w:sz w:val="21"/>
              </w:rPr>
              <w:t>（三）图书退换</w:t>
            </w:r>
          </w:p>
          <w:p>
            <w:pPr>
              <w:jc w:val="both"/>
            </w:pPr>
            <w:r>
              <w:rPr>
                <w:sz w:val="21"/>
              </w:rPr>
              <w:t>1</w:t>
            </w:r>
            <w:r>
              <w:rPr>
                <w:sz w:val="21"/>
              </w:rPr>
              <w:t>、</w:t>
            </w:r>
            <w:r>
              <w:rPr>
                <w:sz w:val="21"/>
              </w:rPr>
              <w:t>图书出现下列任一情况，</w:t>
            </w:r>
            <w:r>
              <w:rPr>
                <w:sz w:val="21"/>
              </w:rPr>
              <w:t>中标</w:t>
            </w:r>
            <w:r>
              <w:rPr>
                <w:sz w:val="21"/>
              </w:rPr>
              <w:t>供货商须无条件负责退换。</w:t>
            </w:r>
          </w:p>
          <w:p>
            <w:pPr>
              <w:jc w:val="both"/>
            </w:pPr>
            <w:r>
              <w:rPr>
                <w:sz w:val="21"/>
              </w:rPr>
              <w:t>（</w:t>
            </w:r>
            <w:r>
              <w:rPr>
                <w:sz w:val="21"/>
              </w:rPr>
              <w:t>1</w:t>
            </w:r>
            <w:r>
              <w:rPr>
                <w:sz w:val="21"/>
              </w:rPr>
              <w:t>）盗版图书；</w:t>
            </w:r>
          </w:p>
          <w:p>
            <w:pPr>
              <w:jc w:val="both"/>
            </w:pPr>
            <w:r>
              <w:rPr>
                <w:sz w:val="21"/>
              </w:rPr>
              <w:t>（</w:t>
            </w:r>
            <w:r>
              <w:rPr>
                <w:sz w:val="21"/>
              </w:rPr>
              <w:t>2</w:t>
            </w:r>
            <w:r>
              <w:rPr>
                <w:sz w:val="21"/>
              </w:rPr>
              <w:t>）出现装订、印刷质量问题和损坏；</w:t>
            </w:r>
          </w:p>
          <w:p>
            <w:pPr>
              <w:jc w:val="both"/>
            </w:pPr>
            <w:r>
              <w:rPr>
                <w:sz w:val="21"/>
              </w:rPr>
              <w:t>（</w:t>
            </w:r>
            <w:r>
              <w:rPr>
                <w:sz w:val="21"/>
              </w:rPr>
              <w:t>3</w:t>
            </w:r>
            <w:r>
              <w:rPr>
                <w:sz w:val="21"/>
              </w:rPr>
              <w:t>）配套不齐全；</w:t>
            </w:r>
          </w:p>
          <w:p>
            <w:pPr>
              <w:jc w:val="both"/>
            </w:pPr>
            <w:r>
              <w:rPr>
                <w:sz w:val="21"/>
              </w:rPr>
              <w:t>（</w:t>
            </w:r>
            <w:r>
              <w:rPr>
                <w:sz w:val="21"/>
              </w:rPr>
              <w:t>4</w:t>
            </w:r>
            <w:r>
              <w:rPr>
                <w:sz w:val="21"/>
              </w:rPr>
              <w:t>）提供的品种和数量与订货单不符；</w:t>
            </w:r>
          </w:p>
          <w:p>
            <w:pPr>
              <w:jc w:val="both"/>
            </w:pPr>
            <w:r>
              <w:rPr>
                <w:sz w:val="21"/>
              </w:rPr>
              <w:t>（</w:t>
            </w:r>
            <w:r>
              <w:rPr>
                <w:sz w:val="21"/>
              </w:rPr>
              <w:t>5</w:t>
            </w:r>
            <w:r>
              <w:rPr>
                <w:sz w:val="21"/>
              </w:rPr>
              <w:t>）因内容、开本、页数等等原因不符合</w:t>
            </w:r>
            <w:r>
              <w:rPr>
                <w:sz w:val="21"/>
              </w:rPr>
              <w:t>采购人学校</w:t>
            </w:r>
            <w:r>
              <w:rPr>
                <w:sz w:val="21"/>
              </w:rPr>
              <w:t>图书馆馆藏要求；</w:t>
            </w:r>
          </w:p>
          <w:p>
            <w:pPr>
              <w:jc w:val="both"/>
            </w:pPr>
            <w:r>
              <w:rPr>
                <w:sz w:val="21"/>
              </w:rPr>
              <w:t>（</w:t>
            </w:r>
            <w:r>
              <w:rPr>
                <w:sz w:val="21"/>
              </w:rPr>
              <w:t>6</w:t>
            </w:r>
            <w:r>
              <w:rPr>
                <w:sz w:val="21"/>
              </w:rPr>
              <w:t>）因</w:t>
            </w:r>
            <w:r>
              <w:rPr>
                <w:sz w:val="21"/>
              </w:rPr>
              <w:t>中标</w:t>
            </w:r>
            <w:r>
              <w:rPr>
                <w:sz w:val="21"/>
              </w:rPr>
              <w:t>供货商提供的书目信息错漏而导致采购人误订；</w:t>
            </w:r>
          </w:p>
          <w:p>
            <w:pPr>
              <w:jc w:val="both"/>
            </w:pPr>
            <w:r>
              <w:rPr>
                <w:sz w:val="21"/>
              </w:rPr>
              <w:t>（</w:t>
            </w:r>
            <w:r>
              <w:rPr>
                <w:sz w:val="21"/>
              </w:rPr>
              <w:t>7</w:t>
            </w:r>
            <w:r>
              <w:rPr>
                <w:sz w:val="21"/>
              </w:rPr>
              <w:t>）采购人认为必须退书的其它情况。</w:t>
            </w:r>
          </w:p>
          <w:p>
            <w:pPr>
              <w:jc w:val="both"/>
            </w:pPr>
            <w:r>
              <w:rPr>
                <w:sz w:val="21"/>
              </w:rPr>
              <w:t>（四）图书验收</w:t>
            </w:r>
          </w:p>
          <w:p>
            <w:pPr>
              <w:jc w:val="both"/>
            </w:pPr>
            <w:r>
              <w:rPr>
                <w:sz w:val="21"/>
              </w:rPr>
              <w:t>图书验收以采购人最终的验收结果为准。</w:t>
            </w:r>
          </w:p>
          <w:p>
            <w:pPr>
              <w:jc w:val="both"/>
            </w:pPr>
            <w:r>
              <w:rPr>
                <w:sz w:val="21"/>
              </w:rPr>
              <w:t>1</w:t>
            </w:r>
            <w:r>
              <w:rPr>
                <w:sz w:val="21"/>
              </w:rPr>
              <w:t>、所有送达图书馆的图书的品种及复本数量均由采购人决定，中标供应商不得自行搭配和追加非采购人确认订购的品种和复本数量的图书。中标供应商强硬搭配的图书，采购人有权按学校规定的图书捐赠制度处理。</w:t>
            </w:r>
          </w:p>
          <w:p>
            <w:pPr>
              <w:jc w:val="both"/>
            </w:pPr>
            <w:r>
              <w:rPr>
                <w:sz w:val="21"/>
              </w:rPr>
              <w:t>2</w:t>
            </w:r>
            <w:r>
              <w:rPr>
                <w:sz w:val="21"/>
              </w:rPr>
              <w:t>、</w:t>
            </w:r>
            <w:r>
              <w:rPr>
                <w:sz w:val="21"/>
              </w:rPr>
              <w:t>中标供应商</w:t>
            </w:r>
            <w:r>
              <w:rPr>
                <w:sz w:val="21"/>
              </w:rPr>
              <w:t>须保证销售正版图书，保证所供应图书的版本与进书来源合法，并对所供应的图书版本、知识产权、进货来源承担相应的法律责任。如发现盗版现象，按盗版书涉及金额的</w:t>
            </w:r>
            <w:r>
              <w:rPr>
                <w:sz w:val="21"/>
              </w:rPr>
              <w:t>100</w:t>
            </w:r>
            <w:r>
              <w:rPr>
                <w:sz w:val="21"/>
              </w:rPr>
              <w:t>倍进行赔偿，并由供应商负全部法律责任。</w:t>
            </w:r>
          </w:p>
          <w:p>
            <w:pPr>
              <w:jc w:val="both"/>
            </w:pPr>
            <w:r>
              <w:rPr>
                <w:sz w:val="21"/>
              </w:rPr>
              <w:t>3</w:t>
            </w:r>
            <w:r>
              <w:rPr>
                <w:sz w:val="21"/>
              </w:rPr>
              <w:t>、如出现图书装订、印刷、缺页、少页和污损等不符合图书馆藏书要求的图书，</w:t>
            </w:r>
            <w:r>
              <w:rPr>
                <w:sz w:val="21"/>
              </w:rPr>
              <w:t>中标</w:t>
            </w:r>
            <w:r>
              <w:rPr>
                <w:sz w:val="21"/>
              </w:rPr>
              <w:t>供应商须在</w:t>
            </w:r>
            <w:r>
              <w:rPr>
                <w:sz w:val="21"/>
              </w:rPr>
              <w:t>20</w:t>
            </w:r>
            <w:r>
              <w:rPr>
                <w:sz w:val="21"/>
              </w:rPr>
              <w:t>天内无条件给予退货。</w:t>
            </w:r>
          </w:p>
          <w:p>
            <w:pPr>
              <w:jc w:val="both"/>
            </w:pPr>
            <w:r>
              <w:rPr>
                <w:sz w:val="21"/>
              </w:rPr>
              <w:t>4</w:t>
            </w:r>
            <w:r>
              <w:rPr>
                <w:sz w:val="21"/>
              </w:rPr>
              <w:t>、图书要求无偿提供随书</w:t>
            </w:r>
            <w:r>
              <w:rPr>
                <w:sz w:val="21"/>
              </w:rPr>
              <w:t>100%</w:t>
            </w:r>
            <w:r>
              <w:rPr>
                <w:sz w:val="21"/>
              </w:rPr>
              <w:t>配套、且符合要求的标准</w:t>
            </w:r>
            <w:r>
              <w:rPr>
                <w:sz w:val="21"/>
              </w:rPr>
              <w:t>CNMARC</w:t>
            </w:r>
            <w:r>
              <w:rPr>
                <w:sz w:val="21"/>
              </w:rPr>
              <w:t>编目数据，编目数据以光盘或电子邮件方式提供，由采购人负责转入本馆系统。</w:t>
            </w:r>
          </w:p>
          <w:p>
            <w:pPr>
              <w:jc w:val="both"/>
            </w:pPr>
            <w:r>
              <w:rPr>
                <w:sz w:val="21"/>
              </w:rPr>
              <w:t>（五）供应商要求</w:t>
            </w:r>
          </w:p>
          <w:p>
            <w:pPr>
              <w:jc w:val="both"/>
            </w:pPr>
            <w:r>
              <w:rPr>
                <w:sz w:val="21"/>
              </w:rPr>
              <w:t>1</w:t>
            </w:r>
            <w:r>
              <w:rPr>
                <w:sz w:val="21"/>
              </w:rPr>
              <w:t>、</w:t>
            </w:r>
            <w:r>
              <w:rPr>
                <w:sz w:val="21"/>
              </w:rPr>
              <w:t>中标供应商</w:t>
            </w:r>
            <w:r>
              <w:rPr>
                <w:sz w:val="21"/>
              </w:rPr>
              <w:t>具有履行合同的能力，包括</w:t>
            </w:r>
            <w:r>
              <w:rPr>
                <w:sz w:val="21"/>
              </w:rPr>
              <w:t>但不限于</w:t>
            </w:r>
            <w:r>
              <w:rPr>
                <w:sz w:val="21"/>
              </w:rPr>
              <w:t>原版外文期刊的订购、配送能力、专业技术人员、质量保证能力和资信。</w:t>
            </w:r>
          </w:p>
          <w:p>
            <w:pPr>
              <w:jc w:val="both"/>
            </w:pPr>
            <w:r>
              <w:rPr>
                <w:sz w:val="21"/>
              </w:rPr>
              <w:t>2</w:t>
            </w:r>
            <w:r>
              <w:rPr>
                <w:sz w:val="21"/>
              </w:rPr>
              <w:t>、</w:t>
            </w:r>
            <w:r>
              <w:rPr>
                <w:sz w:val="21"/>
              </w:rPr>
              <w:t>中标</w:t>
            </w:r>
            <w:r>
              <w:rPr>
                <w:sz w:val="21"/>
              </w:rPr>
              <w:t>供货商须按采购人订购的图书品种、数量及时供货，除出版推迟或发生影响协议履行的不可抗力事情外，若不能按时供货的图书种数或册数超过订单订购数的</w:t>
            </w:r>
            <w:r>
              <w:rPr>
                <w:sz w:val="21"/>
              </w:rPr>
              <w:t>20%</w:t>
            </w:r>
            <w:r>
              <w:rPr>
                <w:sz w:val="21"/>
              </w:rPr>
              <w:t>即可认定</w:t>
            </w:r>
            <w:r>
              <w:rPr>
                <w:sz w:val="21"/>
              </w:rPr>
              <w:t>中标</w:t>
            </w:r>
            <w:r>
              <w:rPr>
                <w:sz w:val="21"/>
              </w:rPr>
              <w:t>供货商不具备供货条件。一旦采购人提出终止供货的要求，</w:t>
            </w:r>
            <w:r>
              <w:rPr>
                <w:sz w:val="21"/>
              </w:rPr>
              <w:t>中标</w:t>
            </w:r>
            <w:r>
              <w:rPr>
                <w:sz w:val="21"/>
              </w:rPr>
              <w:t>供货商须无条件接受，终止供货造成的损失由供货商承担。为尽可能消除因供货商不能按协议规定要求对采购人所造成的影响，供货商有义务采取相应的补救措施（如直接向出版商邮购图书或向其他供货商补订图书），由此给采购人造成的各项损失或增加的各项费用（</w:t>
            </w:r>
            <w:r>
              <w:rPr>
                <w:sz w:val="21"/>
              </w:rPr>
              <w:t>包括但不限于</w:t>
            </w:r>
            <w:r>
              <w:rPr>
                <w:sz w:val="21"/>
              </w:rPr>
              <w:t>邮费、数据费、加工费</w:t>
            </w:r>
            <w:r>
              <w:rPr>
                <w:sz w:val="21"/>
              </w:rPr>
              <w:t>、图书差价</w:t>
            </w:r>
            <w:r>
              <w:rPr>
                <w:sz w:val="21"/>
              </w:rPr>
              <w:t>）等均由违约的</w:t>
            </w:r>
            <w:r>
              <w:rPr>
                <w:sz w:val="21"/>
              </w:rPr>
              <w:t>中标</w:t>
            </w:r>
            <w:r>
              <w:rPr>
                <w:sz w:val="21"/>
              </w:rPr>
              <w:t>供货商承担。</w:t>
            </w:r>
          </w:p>
          <w:p>
            <w:pPr>
              <w:jc w:val="both"/>
            </w:pPr>
            <w:r>
              <w:rPr>
                <w:sz w:val="21"/>
              </w:rPr>
              <w:t>3</w:t>
            </w:r>
            <w:r>
              <w:rPr>
                <w:sz w:val="21"/>
              </w:rPr>
              <w:t>、采购人所订图书，</w:t>
            </w:r>
            <w:r>
              <w:rPr>
                <w:sz w:val="21"/>
              </w:rPr>
              <w:t>中标</w:t>
            </w:r>
            <w:r>
              <w:rPr>
                <w:sz w:val="21"/>
              </w:rPr>
              <w:t>供货商需负责安装复合型钴基可充消防盗磁条。每册图书至少贴一根磁条，</w:t>
            </w:r>
            <w:r>
              <w:rPr>
                <w:sz w:val="21"/>
              </w:rPr>
              <w:t>300</w:t>
            </w:r>
            <w:r>
              <w:rPr>
                <w:sz w:val="21"/>
              </w:rPr>
              <w:t>页以上图书需贴两根。若贴一根磁条，需将防盗磁条装在图书前面约</w:t>
            </w:r>
            <w:r>
              <w:rPr>
                <w:sz w:val="21"/>
              </w:rPr>
              <w:t>1/3</w:t>
            </w:r>
            <w:r>
              <w:rPr>
                <w:sz w:val="21"/>
              </w:rPr>
              <w:t>页码处，若贴两根磁条，则将需防盗磁条分别装在图书前面约</w:t>
            </w:r>
            <w:r>
              <w:rPr>
                <w:sz w:val="21"/>
              </w:rPr>
              <w:t>1/3</w:t>
            </w:r>
            <w:r>
              <w:rPr>
                <w:sz w:val="21"/>
              </w:rPr>
              <w:t>页码处和图书后面约</w:t>
            </w:r>
            <w:r>
              <w:rPr>
                <w:sz w:val="21"/>
              </w:rPr>
              <w:t>1/3</w:t>
            </w:r>
            <w:r>
              <w:rPr>
                <w:sz w:val="21"/>
              </w:rPr>
              <w:t>页码处。</w:t>
            </w:r>
          </w:p>
          <w:p>
            <w:pPr>
              <w:jc w:val="both"/>
            </w:pPr>
            <w:r>
              <w:rPr>
                <w:sz w:val="21"/>
              </w:rPr>
              <w:t>4</w:t>
            </w:r>
            <w:r>
              <w:rPr>
                <w:sz w:val="21"/>
              </w:rPr>
              <w:t>、实际操作过程中出现以上未列明的其他问题，由双方协商解决。</w:t>
            </w:r>
          </w:p>
          <w:p>
            <w:pPr>
              <w:jc w:val="both"/>
            </w:pPr>
            <w:r>
              <w:rPr>
                <w:sz w:val="21"/>
              </w:rPr>
              <w:t>5</w:t>
            </w:r>
            <w:r>
              <w:rPr>
                <w:sz w:val="21"/>
              </w:rPr>
              <w:t>、投标人具有专门的图书零售场地、良好的图书样书室等现采场地。</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r>
        <w:rPr/>
        <w:t>采购包2（原版外文及港台期刊）</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合同签订后，年到刊率要求达到96%以上（延迟及取消出版计划等情况除外）；期刊出版后60天内到货。</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1期：支付比例100%,采购人最迟于2024年9月30日前按中标人民币实洋付款。中标供货商必须按实洋数开具国家税务部门监制的正式发票。 图书结算价（实洋）（人民币元）=图书原币价格×到馆日原币汇率×中标综合折扣率。 图书原币价格：以出版社标价或供应商进货单据为准。 到馆日原币汇率：指图书到馆当日的中国银行外汇卖出日均价，即当天（北京时间为准）中国银行网站上公布的相应外币的所有现汇卖出价记录之均值。采购人于收到发票15日内实洋付款。 支付方式：采用支票、银行汇付（含电汇）等形式。</w:t>
            </w:r>
          </w:p>
        </w:tc>
      </w:tr>
      <w:tr>
        <w:tc>
          <w:tcPr>
            <w:tcW w:type="dxa" w:w="4153"/>
          </w:tcPr>
          <w:p>
            <w:r>
              <w:rPr/>
              <w:t>验收要求</w:t>
            </w:r>
          </w:p>
        </w:tc>
        <w:tc>
          <w:tcPr>
            <w:tcW w:type="dxa" w:w="4153"/>
          </w:tcPr>
          <w:p/>
          <w:p/>
          <w:p/>
          <w:p>
            <w:r>
              <w:rPr/>
              <w:t>1期：期刊验收以采购人用户需求书及最终的验收结果为准。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包装与运输，包装应用合适的材料，适用长途运输、防潮、防震、能够保证图书的完整。</w:t>
            </w:r>
          </w:p>
          <w:p/>
          <w:p>
            <w:r>
              <w:rPr/>
              <w:t>保险，货物从出厂运至采购人指定地点的保险费用须包含在投标报价中。</w:t>
            </w:r>
          </w:p>
          <w:p/>
          <w:p>
            <w:r>
              <w:rPr/>
              <w:t>质量保证，出现如下情况，中标供应商必须在3个工作日内无条件更换：图书/期刊装订或印刷质量有问题，如缺页、倒装、模糊不清、折页、开线、开胶等；图书/期刊总数与对应清单不符；出现污损情况；图书/期刊的附件如光盘等不齐全。</w:t>
            </w:r>
          </w:p>
          <w:p/>
          <w:p>
            <w:r>
              <w:rPr/>
              <w:t>售后服务，1. 中标供应商须专门指派一名业务人员，负责与采购人保持业务联系。 2. 中标供应商在投递的每批图书、期刊中应随货附送与货物数量、品种、价格相符的详细电脑清单及汇总单，以便于双方协调验收和避免出现漏发、错投的现象。 3. 对汇总单中漏发的图书、期刊，中标供应商必须立刻快递补齐。 4. 对延迟出版及取消出版图书、期刊，中标供应商应及时向出版机构查询交涉，并同步通报采购人。 5. 接采购人通知（含电话）后，中标供应商必须在一个工作日内作出反馈并提出处理问题的方案。</w:t>
            </w:r>
          </w:p>
        </w:tc>
      </w:tr>
    </w:tbl>
    <w:p>
      <w:r>
        <w:rPr>
          <w:b/>
        </w:rPr>
        <w:t>2.技术标准与要求</w:t>
      </w:r>
    </w:p>
    <w:p/>
    <w:p/>
    <w:tbl>
      <w:tblPr>
        <w:tblW w:w="0" w:type="auto"/>
        <w:tblBorders>
          <w:top w:val="single"/>
          <w:left w:val="single"/>
          <w:bottom w:val="single"/>
          <w:right w:val="single"/>
          <w:insideH w:val="single"/>
          <w:insideV w:val="single"/>
        </w:tblBorders>
      </w:tblPr>
      <w:tblGrid>
        <w:gridCol w:w="748"/>
        <w:gridCol w:w="748"/>
        <w:gridCol w:w="748"/>
        <w:gridCol w:w="748"/>
        <w:gridCol w:w="748"/>
        <w:gridCol w:w="748"/>
        <w:gridCol w:w="748"/>
        <w:gridCol w:w="748"/>
        <w:gridCol w:w="748"/>
        <w:gridCol w:w="823"/>
        <w:gridCol w:w="748"/>
      </w:tblGrid>
      <w:tr>
        <w:tc>
          <w:tcPr>
            <w:tcW w:type="dxa" w:w="748"/>
          </w:tcPr>
          <w:p>
            <w:pPr>
              <w:jc w:val="center"/>
            </w:pPr>
            <w:r>
              <w:rPr/>
              <w:t>序号</w:t>
            </w:r>
          </w:p>
        </w:tc>
        <w:tc>
          <w:tcPr>
            <w:tcW w:type="dxa" w:w="748"/>
          </w:tcPr>
          <w:p>
            <w:pPr>
              <w:jc w:val="center"/>
            </w:pPr>
            <w:r>
              <w:rPr/>
              <w:t>核心产品要求（“△”）</w:t>
            </w:r>
          </w:p>
        </w:tc>
        <w:tc>
          <w:tcPr>
            <w:tcW w:type="dxa" w:w="748"/>
          </w:tcPr>
          <w:p>
            <w:pPr>
              <w:jc w:val="center"/>
            </w:pPr>
            <w:r>
              <w:rPr/>
              <w:t>品目名称</w:t>
            </w:r>
          </w:p>
        </w:tc>
        <w:tc>
          <w:tcPr>
            <w:tcW w:type="dxa" w:w="748"/>
          </w:tcPr>
          <w:p>
            <w:pPr>
              <w:jc w:val="center"/>
            </w:pPr>
            <w:r>
              <w:rPr/>
              <w:t>标的名称</w:t>
            </w:r>
          </w:p>
        </w:tc>
        <w:tc>
          <w:tcPr>
            <w:tcW w:type="dxa" w:w="748"/>
          </w:tcPr>
          <w:p>
            <w:pPr>
              <w:jc w:val="center"/>
            </w:pPr>
            <w:r>
              <w:rPr/>
              <w:t>单位</w:t>
            </w:r>
          </w:p>
        </w:tc>
        <w:tc>
          <w:tcPr>
            <w:tcW w:type="dxa" w:w="748"/>
          </w:tcPr>
          <w:p>
            <w:pPr>
              <w:jc w:val="center"/>
            </w:pPr>
            <w:r>
              <w:rPr/>
              <w:t>数量</w:t>
            </w:r>
          </w:p>
        </w:tc>
        <w:tc>
          <w:tcPr>
            <w:tcW w:type="dxa" w:w="748"/>
          </w:tcPr>
          <w:p>
            <w:pPr>
              <w:jc w:val="center"/>
            </w:pPr>
            <w:r>
              <w:rPr/>
              <w:t>分项预算单价（元）</w:t>
            </w:r>
          </w:p>
        </w:tc>
        <w:tc>
          <w:tcPr>
            <w:tcW w:type="dxa" w:w="748"/>
          </w:tcPr>
          <w:p>
            <w:pPr>
              <w:jc w:val="center"/>
            </w:pPr>
            <w:r>
              <w:rPr/>
              <w:t>分项预算总价（元）</w:t>
            </w:r>
          </w:p>
        </w:tc>
        <w:tc>
          <w:tcPr>
            <w:tcW w:type="dxa" w:w="748"/>
          </w:tcPr>
          <w:p>
            <w:pPr>
              <w:jc w:val="center"/>
            </w:pPr>
            <w:r>
              <w:rPr/>
              <w:t>权重%</w:t>
            </w:r>
          </w:p>
        </w:tc>
        <w:tc>
          <w:tcPr>
            <w:tcW w:type="dxa" w:w="823"/>
          </w:tcPr>
          <w:p>
            <w:r>
              <w:rPr/>
              <w:t>所属行业</w:t>
            </w:r>
          </w:p>
        </w:tc>
        <w:tc>
          <w:tcPr>
            <w:tcW w:type="dxa" w:w="748"/>
          </w:tcPr>
          <w:p>
            <w:pPr>
              <w:jc w:val="center"/>
            </w:pPr>
            <w:r>
              <w:rPr/>
              <w:t>技术要求</w:t>
            </w:r>
          </w:p>
        </w:tc>
      </w:tr>
      <w:tr>
        <w:tc>
          <w:tcPr>
            <w:tcW w:type="dxa" w:w="748"/>
          </w:tcPr>
          <w:p>
            <w:pPr>
              <w:jc w:val="center"/>
            </w:pPr>
            <w:r>
              <w:rPr/>
              <w:t>1</w:t>
            </w:r>
          </w:p>
        </w:tc>
        <w:tc>
          <w:tcPr>
            <w:tcW w:type="dxa" w:w="748"/>
          </w:tcPr>
          <w:p>
            <w:pPr>
              <w:jc w:val="center"/>
            </w:pPr>
          </w:p>
        </w:tc>
        <w:tc>
          <w:tcPr>
            <w:tcW w:type="dxa" w:w="748"/>
          </w:tcPr>
          <w:p>
            <w:pPr>
              <w:jc w:val="left"/>
            </w:pPr>
            <w:r>
              <w:rPr/>
              <w:t>其他期刊</w:t>
            </w:r>
          </w:p>
        </w:tc>
        <w:tc>
          <w:tcPr>
            <w:tcW w:type="dxa" w:w="748"/>
          </w:tcPr>
          <w:p>
            <w:pPr>
              <w:jc w:val="left"/>
            </w:pPr>
            <w:r>
              <w:rPr/>
              <w:t>原版外文及港台期刊</w:t>
            </w:r>
          </w:p>
        </w:tc>
        <w:tc>
          <w:tcPr>
            <w:tcW w:type="dxa" w:w="748"/>
          </w:tcPr>
          <w:p>
            <w:pPr>
              <w:jc w:val="left"/>
            </w:pPr>
            <w:r>
              <w:rPr/>
              <w:t>批</w:t>
            </w:r>
          </w:p>
        </w:tc>
        <w:tc>
          <w:tcPr>
            <w:tcW w:type="dxa" w:w="748"/>
          </w:tcPr>
          <w:p>
            <w:pPr>
              <w:jc w:val="right"/>
            </w:pPr>
            <w:r>
              <w:rPr/>
              <w:t>1.00</w:t>
            </w:r>
          </w:p>
        </w:tc>
        <w:tc>
          <w:tcPr>
            <w:tcW w:type="dxa" w:w="748"/>
          </w:tcPr>
          <w:p>
            <w:pPr>
              <w:jc w:val="right"/>
            </w:pPr>
            <w:r>
              <w:rPr/>
              <w:t>651,000.00</w:t>
            </w:r>
          </w:p>
        </w:tc>
        <w:tc>
          <w:tcPr>
            <w:tcW w:type="dxa" w:w="748"/>
          </w:tcPr>
          <w:p>
            <w:pPr>
              <w:jc w:val="right"/>
            </w:pPr>
            <w:r>
              <w:rPr/>
              <w:t>651,000.00</w:t>
            </w:r>
          </w:p>
        </w:tc>
        <w:tc>
          <w:tcPr>
            <w:tcW w:type="dxa" w:w="748"/>
          </w:tcPr>
          <w:p>
            <w:r>
              <w:rPr/>
              <w:t>100.0</w:t>
            </w:r>
          </w:p>
        </w:tc>
        <w:tc>
          <w:tcPr>
            <w:tcW w:type="dxa" w:w="823"/>
          </w:tcPr>
          <w:p>
            <w:r>
              <w:rPr/>
              <w:t>批发业</w:t>
            </w:r>
          </w:p>
        </w:tc>
        <w:tc>
          <w:tcPr>
            <w:tcW w:type="dxa" w:w="748"/>
          </w:tcPr>
          <w:p>
            <w:r>
              <w:rPr/>
              <w:t>详见附表一</w:t>
            </w:r>
          </w:p>
        </w:tc>
      </w:tr>
    </w:tbl>
    <w:p>
      <w:r>
        <w:rPr/>
        <w:t>备注：最终综合总报价=（各产品报价×各项产品权重）的相加值</w:t>
      </w:r>
    </w:p>
    <w:p/>
    <w:p>
      <w:r>
        <w:rPr>
          <w:b/>
        </w:rPr>
        <w:t>附表</w:t>
      </w:r>
      <w:r>
        <w:rPr>
          <w:b/>
        </w:rPr>
        <w:t>一</w:t>
      </w:r>
      <w:r>
        <w:rPr>
          <w:b/>
        </w:rPr>
        <w:t>：</w:t>
      </w:r>
      <w:r>
        <w:rPr>
          <w:b/>
        </w:rPr>
        <w:t>原版外文及港台期刊</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1.</w:t>
            </w:r>
            <w:r>
              <w:rPr>
                <w:sz w:val="21"/>
              </w:rPr>
              <w:t>采购范围：采购人学校图书馆所需求的</w:t>
            </w:r>
            <w:r>
              <w:rPr>
                <w:sz w:val="21"/>
              </w:rPr>
              <w:t>2024</w:t>
            </w:r>
            <w:r>
              <w:rPr>
                <w:sz w:val="21"/>
              </w:rPr>
              <w:t>年各学科类目的港台期刊及国外原版期刊。</w:t>
            </w:r>
          </w:p>
          <w:p>
            <w:pPr>
              <w:jc w:val="both"/>
            </w:pPr>
            <w:r>
              <w:rPr>
                <w:sz w:val="21"/>
              </w:rPr>
              <w:t>2.</w:t>
            </w:r>
            <w:r>
              <w:rPr>
                <w:sz w:val="21"/>
              </w:rPr>
              <w:t>项目技术要求：</w:t>
            </w:r>
          </w:p>
          <w:p>
            <w:pPr>
              <w:jc w:val="both"/>
            </w:pPr>
            <w:r>
              <w:rPr>
                <w:sz w:val="21"/>
              </w:rPr>
              <w:t>（</w:t>
            </w:r>
            <w:r>
              <w:rPr>
                <w:sz w:val="21"/>
              </w:rPr>
              <w:t>1</w:t>
            </w:r>
            <w:r>
              <w:rPr>
                <w:sz w:val="21"/>
              </w:rPr>
              <w:t>）征订目录要求：中标供货商必须每年</w:t>
            </w:r>
            <w:r>
              <w:rPr>
                <w:sz w:val="21"/>
              </w:rPr>
              <w:t>根据征订目录</w:t>
            </w:r>
            <w:r>
              <w:rPr>
                <w:sz w:val="21"/>
              </w:rPr>
              <w:t>按时无条件提供港台及国外各类型期刊社及其他专门的最新书本式期刊征订目录和电子版期刊征订目录（含报价），特别是符合采购人教学和科研需要的当年新增期刊目录。</w:t>
            </w:r>
          </w:p>
          <w:p>
            <w:pPr>
              <w:jc w:val="both"/>
            </w:pPr>
            <w:r>
              <w:rPr>
                <w:sz w:val="21"/>
              </w:rPr>
              <w:t>（</w:t>
            </w:r>
            <w:r>
              <w:rPr>
                <w:sz w:val="21"/>
              </w:rPr>
              <w:t>2</w:t>
            </w:r>
            <w:r>
              <w:rPr>
                <w:sz w:val="21"/>
              </w:rPr>
              <w:t>）期刊变更信息要求：因出版方原因未能及时供刊，及期刊发生停刊、改名、合并、分刊、载体变化或个别期刊价格非正常上涨等情况，中标供应商应编制专门的《期刊变动情况表》，尽早通知采购人并说明原因。平时对于采购人对期刊的询订、催缺应及时处理和回复。</w:t>
            </w:r>
          </w:p>
          <w:p>
            <w:pPr>
              <w:jc w:val="both"/>
            </w:pPr>
            <w:r>
              <w:rPr>
                <w:sz w:val="21"/>
              </w:rPr>
              <w:t>（</w:t>
            </w:r>
            <w:r>
              <w:rPr>
                <w:sz w:val="21"/>
              </w:rPr>
              <w:t>3</w:t>
            </w:r>
            <w:r>
              <w:rPr>
                <w:sz w:val="21"/>
              </w:rPr>
              <w:t>）订到率：在版订到率要求</w:t>
            </w:r>
            <w:r>
              <w:rPr>
                <w:sz w:val="21"/>
              </w:rPr>
              <w:t>98%</w:t>
            </w:r>
            <w:r>
              <w:rPr>
                <w:sz w:val="21"/>
              </w:rPr>
              <w:t>。</w:t>
            </w:r>
          </w:p>
          <w:p>
            <w:pPr>
              <w:jc w:val="both"/>
            </w:pPr>
            <w:r>
              <w:rPr>
                <w:sz w:val="21"/>
              </w:rPr>
              <w:t>（</w:t>
            </w:r>
            <w:r>
              <w:rPr>
                <w:sz w:val="21"/>
              </w:rPr>
              <w:t>4</w:t>
            </w:r>
            <w:r>
              <w:rPr>
                <w:sz w:val="21"/>
              </w:rPr>
              <w:t>）到刊率：年到刊率要求达到</w:t>
            </w:r>
            <w:r>
              <w:rPr>
                <w:sz w:val="21"/>
              </w:rPr>
              <w:t>96%</w:t>
            </w:r>
            <w:r>
              <w:rPr>
                <w:sz w:val="21"/>
              </w:rPr>
              <w:t>以上（延迟及取消出版计划等情况除外）。</w:t>
            </w:r>
          </w:p>
          <w:p>
            <w:pPr>
              <w:jc w:val="both"/>
            </w:pPr>
            <w:r>
              <w:rPr>
                <w:sz w:val="21"/>
              </w:rPr>
              <w:t>（</w:t>
            </w:r>
            <w:r>
              <w:rPr>
                <w:sz w:val="21"/>
              </w:rPr>
              <w:t>5</w:t>
            </w:r>
            <w:r>
              <w:rPr>
                <w:sz w:val="21"/>
              </w:rPr>
              <w:t>）到刊统计：中标供货商提供期刊到货的统计；每三个月提供未到刊清单，并以书面形式分析、说明原因，尽快给予补充未到的期刊。</w:t>
            </w:r>
          </w:p>
          <w:p>
            <w:pPr>
              <w:jc w:val="both"/>
            </w:pPr>
            <w:r>
              <w:rPr>
                <w:sz w:val="21"/>
              </w:rPr>
              <w:t>（</w:t>
            </w:r>
            <w:r>
              <w:rPr>
                <w:sz w:val="21"/>
              </w:rPr>
              <w:t>6</w:t>
            </w:r>
            <w:r>
              <w:rPr>
                <w:sz w:val="21"/>
              </w:rPr>
              <w:t>）追加订购：供货商应尽量按投标报价时相同的优惠条件订购采购人要求追加订购的其他期刊。</w:t>
            </w:r>
          </w:p>
          <w:p>
            <w:pPr>
              <w:jc w:val="both"/>
            </w:pPr>
            <w:r>
              <w:rPr>
                <w:sz w:val="21"/>
              </w:rPr>
              <w:t>3.</w:t>
            </w:r>
            <w:r>
              <w:rPr>
                <w:sz w:val="21"/>
              </w:rPr>
              <w:t>项目服务要求：</w:t>
            </w:r>
          </w:p>
          <w:p>
            <w:pPr>
              <w:jc w:val="both"/>
            </w:pPr>
            <w:r>
              <w:rPr>
                <w:sz w:val="21"/>
              </w:rPr>
              <w:t>（</w:t>
            </w:r>
            <w:r>
              <w:rPr>
                <w:sz w:val="21"/>
              </w:rPr>
              <w:t>1</w:t>
            </w:r>
            <w:r>
              <w:rPr>
                <w:sz w:val="21"/>
              </w:rPr>
              <w:t>）期刊供货：中标供货商必须按采购清单的期刊品种和数量及时供货，除非采购人作出调整或增减，不得自行搭配和追加未经采购人确认的期刊品种和复本数量（期刊本身附赠的赠刊除外），非采购人订购的期刊一律退回。供货商必须保证提供正版期刊，对非正版期刊采购人有权拒绝验收，中标供应商必须接受无条件退货且以十倍金额支付违约金，从期刊结算款中扣除，同时，可终止中标供应商的供货资格，</w:t>
            </w:r>
            <w:r>
              <w:rPr>
                <w:sz w:val="21"/>
              </w:rPr>
              <w:t>采购人仅为期刊使用人，</w:t>
            </w:r>
            <w:r>
              <w:rPr>
                <w:sz w:val="21"/>
              </w:rPr>
              <w:t>中标供应商</w:t>
            </w:r>
            <w:r>
              <w:rPr>
                <w:sz w:val="21"/>
              </w:rPr>
              <w:t>应</w:t>
            </w:r>
            <w:r>
              <w:rPr>
                <w:sz w:val="21"/>
              </w:rPr>
              <w:t>承担由此而引起的一切法律责任。</w:t>
            </w:r>
          </w:p>
          <w:p>
            <w:pPr>
              <w:jc w:val="both"/>
            </w:pPr>
            <w:r>
              <w:rPr>
                <w:sz w:val="21"/>
              </w:rPr>
              <w:t>（</w:t>
            </w:r>
            <w:r>
              <w:rPr>
                <w:sz w:val="21"/>
              </w:rPr>
              <w:t>2</w:t>
            </w:r>
            <w:r>
              <w:rPr>
                <w:sz w:val="21"/>
              </w:rPr>
              <w:t>）送货要求：中标供货商必须无条件配送期刊到图书馆采编部指定地点</w:t>
            </w:r>
            <w:r>
              <w:rPr>
                <w:sz w:val="21"/>
              </w:rPr>
              <w:t>（</w:t>
            </w:r>
            <w:r>
              <w:rPr>
                <w:sz w:val="21"/>
              </w:rPr>
              <w:t>中标供应商无条件送书、卸货、搬运等</w:t>
            </w:r>
            <w:r>
              <w:rPr>
                <w:sz w:val="21"/>
              </w:rPr>
              <w:t>）</w:t>
            </w:r>
            <w:r>
              <w:rPr>
                <w:sz w:val="21"/>
              </w:rPr>
              <w:t>，提供每批期刊包装清单，包括但不限于批号、包号、刊号、刊名（改名的注明原刊名）、卷次、期次、册数、投递或发刊日期内容，并合计种数、份数。期刊未按到期顺序到馆的需在刊名后注明；每份期刊必须有明确清晰的标识，包括但不限于刊号、卷期。中标供货商应对发送的期刊进行防湿和防破装卸要求的包装，并派专人追踪每批期刊的到货情况。期刊在到达采购人指定地点前发生的不可预见的风险均由中标供货商负责。最少一周一次投递。</w:t>
            </w:r>
          </w:p>
          <w:p>
            <w:pPr>
              <w:jc w:val="both"/>
            </w:pPr>
            <w:r>
              <w:rPr>
                <w:sz w:val="21"/>
              </w:rPr>
              <w:t>（</w:t>
            </w:r>
            <w:r>
              <w:rPr>
                <w:sz w:val="21"/>
              </w:rPr>
              <w:t>3</w:t>
            </w:r>
            <w:r>
              <w:rPr>
                <w:sz w:val="21"/>
              </w:rPr>
              <w:t>）期刊退换：期刊出现下列任一情况，中标供货商必须无条件负责退换，退换货发生的全部费用由供货商承担。①出现装订、印刷质量问题和损坏；②配套不齐全；③提供的品种和数量与订货单不符；④采购人认为必须退刊的其它情况。</w:t>
            </w:r>
          </w:p>
          <w:p>
            <w:pPr>
              <w:jc w:val="both"/>
            </w:pPr>
            <w:r>
              <w:rPr>
                <w:sz w:val="21"/>
              </w:rPr>
              <w:t>（</w:t>
            </w:r>
            <w:r>
              <w:rPr>
                <w:sz w:val="21"/>
              </w:rPr>
              <w:t>4</w:t>
            </w:r>
            <w:r>
              <w:rPr>
                <w:sz w:val="21"/>
              </w:rPr>
              <w:t>）每包及每批期刊的品种、册数等必须与对应的清单相符。如果在验收过程中，同一批次期刊出现</w:t>
            </w:r>
            <w:r>
              <w:rPr>
                <w:sz w:val="21"/>
              </w:rPr>
              <w:t>3%</w:t>
            </w:r>
            <w:r>
              <w:rPr>
                <w:sz w:val="21"/>
              </w:rPr>
              <w:t>的期刊品种与相应清单不符，采购人有权退回该批次全部期刊，要求中标供应商重新核对，直至该批期刊与清单相符</w:t>
            </w:r>
            <w:r>
              <w:rPr>
                <w:sz w:val="21"/>
              </w:rPr>
              <w:t>。</w:t>
            </w:r>
            <w:r>
              <w:rPr>
                <w:sz w:val="21"/>
              </w:rPr>
              <w:t>中标供应商应在采购人退回</w:t>
            </w:r>
            <w:r>
              <w:rPr>
                <w:sz w:val="21"/>
              </w:rPr>
              <w:t>一周内</w:t>
            </w:r>
            <w:r>
              <w:rPr>
                <w:sz w:val="21"/>
              </w:rPr>
              <w:t>重发交付</w:t>
            </w:r>
            <w:r>
              <w:rPr>
                <w:sz w:val="21"/>
              </w:rPr>
              <w:t>采购人，由此产生的费用都由中标供应商</w:t>
            </w:r>
            <w:r>
              <w:rPr>
                <w:sz w:val="21"/>
              </w:rPr>
              <w:t>负责</w:t>
            </w:r>
            <w:r>
              <w:rPr>
                <w:sz w:val="21"/>
              </w:rPr>
              <w:t>。</w:t>
            </w:r>
          </w:p>
          <w:p>
            <w:pPr>
              <w:jc w:val="both"/>
            </w:pPr>
            <w:r>
              <w:rPr>
                <w:sz w:val="21"/>
              </w:rPr>
              <w:t>（</w:t>
            </w:r>
            <w:r>
              <w:rPr>
                <w:sz w:val="21"/>
              </w:rPr>
              <w:t>5</w:t>
            </w:r>
            <w:r>
              <w:rPr>
                <w:sz w:val="21"/>
              </w:rPr>
              <w:t>）中标供货商必须按采购人订购的期刊品种、数量及时供货，除出版推迟或发生影响协议履行的不可抗力事情外，供应期刊订到率未达到</w:t>
            </w:r>
            <w:r>
              <w:rPr>
                <w:sz w:val="21"/>
              </w:rPr>
              <w:t>97%</w:t>
            </w:r>
            <w:r>
              <w:rPr>
                <w:sz w:val="21"/>
              </w:rPr>
              <w:t>、或年到刊率未达到</w:t>
            </w:r>
            <w:r>
              <w:rPr>
                <w:sz w:val="21"/>
              </w:rPr>
              <w:t>95%</w:t>
            </w:r>
            <w:r>
              <w:rPr>
                <w:sz w:val="21"/>
              </w:rPr>
              <w:t>（中标供货商能够提供出版社尚未出版证明的不计入未到期刊）时，除退回期刊款外，供货商按未到期刊价格的</w:t>
            </w:r>
            <w:r>
              <w:rPr>
                <w:sz w:val="21"/>
              </w:rPr>
              <w:t>20%</w:t>
            </w:r>
            <w:r>
              <w:rPr>
                <w:sz w:val="21"/>
              </w:rPr>
              <w:t>向采购人支付违约金，违约金从期刊结算款中扣除；并且采购人可以</w:t>
            </w:r>
            <w:r>
              <w:rPr>
                <w:sz w:val="21"/>
              </w:rPr>
              <w:t>解除</w:t>
            </w:r>
            <w:r>
              <w:rPr>
                <w:sz w:val="21"/>
              </w:rPr>
              <w:t>本协议，由此引起的一切后果均由中标供货商承担。</w:t>
            </w:r>
          </w:p>
          <w:p>
            <w:pPr>
              <w:jc w:val="both"/>
            </w:pPr>
            <w:r>
              <w:rPr>
                <w:sz w:val="21"/>
              </w:rPr>
              <w:t>（</w:t>
            </w:r>
            <w:r>
              <w:rPr>
                <w:sz w:val="21"/>
              </w:rPr>
              <w:t>6</w:t>
            </w:r>
            <w:r>
              <w:rPr>
                <w:sz w:val="21"/>
              </w:rPr>
              <w:t>）实际操作过程中出现以上未列明的其他问题，由双方协商解决。</w:t>
            </w:r>
          </w:p>
          <w:p>
            <w:pPr>
              <w:jc w:val="both"/>
            </w:pPr>
            <w:r>
              <w:rPr>
                <w:sz w:val="21"/>
              </w:rPr>
              <w:t>（</w:t>
            </w:r>
            <w:r>
              <w:rPr>
                <w:sz w:val="21"/>
              </w:rPr>
              <w:t>7）</w:t>
            </w:r>
            <w:r>
              <w:rPr>
                <w:sz w:val="21"/>
              </w:rPr>
              <w:t>投标人具有专门的图书零售场地、良好的图书样书室等现采场地。</w:t>
            </w:r>
          </w:p>
          <w:p>
            <w:pPr>
              <w:ind w:firstLine="420"/>
            </w:pPr>
            <w:r>
              <w:rPr>
                <w:sz w:val="21"/>
              </w:rPr>
              <w:t>3.</w:t>
            </w:r>
            <w:r>
              <w:rPr>
                <w:sz w:val="21"/>
              </w:rPr>
              <w:t>2024</w:t>
            </w:r>
            <w:r>
              <w:rPr>
                <w:sz w:val="21"/>
              </w:rPr>
              <w:t>年原版外文期刊订单</w:t>
            </w:r>
          </w:p>
          <w:tbl>
            <w:tblPr>
              <w:tblBorders>
                <w:top w:val="none" w:color="000000" w:sz="4"/>
                <w:left w:val="none" w:color="000000" w:sz="4"/>
                <w:bottom w:val="none" w:color="000000" w:sz="4"/>
                <w:right w:val="none" w:color="000000" w:sz="4"/>
                <w:insideH w:val="none"/>
                <w:insideV w:val="none"/>
              </w:tblBorders>
            </w:tblPr>
            <w:tblGrid>
              <w:gridCol w:w="304"/>
              <w:gridCol w:w="661"/>
              <w:gridCol w:w="621"/>
              <w:gridCol w:w="1707"/>
              <w:gridCol w:w="489"/>
              <w:gridCol w:w="1773"/>
            </w:tblGrid>
            <w:tr>
              <w:tc>
                <w:tcPr>
                  <w:tcW w:type="dxa" w:w="304"/>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661"/>
                  <w:tcBorders>
                    <w:top w:val="single" w:color="000000" w:sz="4"/>
                    <w:left w:val="none" w:color="000000" w:sz="4"/>
                    <w:bottom w:val="single" w:color="000000" w:sz="4"/>
                    <w:right w:val="single" w:color="000000" w:sz="4"/>
                  </w:tcBorders>
                  <w:vAlign w:val="top"/>
                </w:tcPr>
                <w:p>
                  <w:pPr>
                    <w:jc w:val="both"/>
                  </w:pPr>
                  <w:r>
                    <w:rPr>
                      <w:sz w:val="21"/>
                    </w:rPr>
                    <w:t>刊号</w:t>
                  </w:r>
                </w:p>
              </w:tc>
              <w:tc>
                <w:tcPr>
                  <w:tcW w:type="dxa" w:w="621"/>
                  <w:tcBorders>
                    <w:top w:val="single" w:color="000000" w:sz="4"/>
                    <w:left w:val="none" w:color="000000" w:sz="4"/>
                    <w:bottom w:val="single" w:color="000000" w:sz="4"/>
                    <w:right w:val="single" w:color="000000" w:sz="4"/>
                  </w:tcBorders>
                  <w:vAlign w:val="top"/>
                </w:tcPr>
                <w:p>
                  <w:pPr>
                    <w:jc w:val="both"/>
                  </w:pPr>
                  <w:r>
                    <w:rPr>
                      <w:sz w:val="21"/>
                    </w:rPr>
                    <w:t>PISSN</w:t>
                  </w:r>
                </w:p>
              </w:tc>
              <w:tc>
                <w:tcPr>
                  <w:tcW w:type="dxa" w:w="1707"/>
                  <w:tcBorders>
                    <w:top w:val="single" w:color="000000" w:sz="4"/>
                    <w:left w:val="none" w:color="000000" w:sz="4"/>
                    <w:bottom w:val="single" w:color="000000" w:sz="4"/>
                    <w:right w:val="single" w:color="000000" w:sz="4"/>
                  </w:tcBorders>
                  <w:vAlign w:val="top"/>
                </w:tcPr>
                <w:p>
                  <w:pPr>
                    <w:jc w:val="both"/>
                  </w:pPr>
                  <w:r>
                    <w:rPr>
                      <w:sz w:val="21"/>
                    </w:rPr>
                    <w:t>刊名</w:t>
                  </w:r>
                </w:p>
              </w:tc>
              <w:tc>
                <w:tcPr>
                  <w:tcW w:type="dxa" w:w="489"/>
                  <w:tcBorders>
                    <w:top w:val="single" w:color="000000" w:sz="4"/>
                    <w:left w:val="none" w:color="000000" w:sz="4"/>
                    <w:bottom w:val="single" w:color="000000" w:sz="4"/>
                    <w:right w:val="single" w:color="000000" w:sz="4"/>
                  </w:tcBorders>
                  <w:vAlign w:val="top"/>
                </w:tcPr>
                <w:p>
                  <w:pPr>
                    <w:jc w:val="both"/>
                  </w:pPr>
                  <w:r>
                    <w:rPr>
                      <w:sz w:val="21"/>
                    </w:rPr>
                    <w:t>频率</w:t>
                  </w:r>
                </w:p>
              </w:tc>
              <w:tc>
                <w:tcPr>
                  <w:tcW w:type="dxa" w:w="1773"/>
                  <w:tcBorders>
                    <w:top w:val="single" w:color="000000" w:sz="4"/>
                    <w:left w:val="none" w:color="000000" w:sz="4"/>
                    <w:bottom w:val="single" w:color="000000" w:sz="4"/>
                    <w:right w:val="single" w:color="000000" w:sz="4"/>
                  </w:tcBorders>
                  <w:vAlign w:val="top"/>
                </w:tcPr>
                <w:p>
                  <w:pPr>
                    <w:jc w:val="both"/>
                  </w:pPr>
                  <w:r>
                    <w:rPr>
                      <w:sz w:val="21"/>
                    </w:rPr>
                    <w:t>出版社</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w:t>
                  </w:r>
                </w:p>
              </w:tc>
              <w:tc>
                <w:tcPr>
                  <w:tcW w:type="dxa" w:w="661"/>
                  <w:tcBorders>
                    <w:top w:val="none" w:color="000000" w:sz="4"/>
                    <w:left w:val="none" w:color="000000" w:sz="4"/>
                    <w:bottom w:val="single" w:color="000000" w:sz="4"/>
                    <w:right w:val="single" w:color="000000" w:sz="4"/>
                  </w:tcBorders>
                  <w:vAlign w:val="top"/>
                </w:tcPr>
                <w:p>
                  <w:pPr>
                    <w:jc w:val="both"/>
                  </w:pPr>
                  <w:r>
                    <w:rPr>
                      <w:sz w:val="21"/>
                    </w:rPr>
                    <w:t>210D0097</w:t>
                  </w:r>
                </w:p>
              </w:tc>
              <w:tc>
                <w:tcPr>
                  <w:tcW w:type="dxa" w:w="621"/>
                  <w:tcBorders>
                    <w:top w:val="none" w:color="000000" w:sz="4"/>
                    <w:left w:val="none" w:color="000000" w:sz="4"/>
                    <w:bottom w:val="single" w:color="000000" w:sz="4"/>
                    <w:right w:val="single" w:color="000000" w:sz="4"/>
                  </w:tcBorders>
                  <w:vAlign w:val="top"/>
                </w:tcPr>
                <w:p>
                  <w:pPr>
                    <w:jc w:val="both"/>
                  </w:pPr>
                </w:p>
              </w:tc>
              <w:tc>
                <w:tcPr>
                  <w:tcW w:type="dxa" w:w="1707"/>
                  <w:tcBorders>
                    <w:top w:val="none" w:color="000000" w:sz="4"/>
                    <w:left w:val="none" w:color="000000" w:sz="4"/>
                    <w:bottom w:val="single" w:color="000000" w:sz="4"/>
                    <w:right w:val="single" w:color="000000" w:sz="4"/>
                  </w:tcBorders>
                  <w:vAlign w:val="top"/>
                </w:tcPr>
                <w:p>
                  <w:pPr>
                    <w:jc w:val="both"/>
                  </w:pPr>
                  <w:r>
                    <w:rPr>
                      <w:sz w:val="21"/>
                    </w:rPr>
                    <w:t>東南</w:t>
                  </w:r>
                  <w:r>
                    <w:rPr>
                      <w:sz w:val="21"/>
                    </w:rPr>
                    <w:t>アジア</w:t>
                  </w:r>
                  <w:r>
                    <w:rPr>
                      <w:sz w:val="21"/>
                    </w:rPr>
                    <w:t>;</w:t>
                  </w:r>
                  <w:r>
                    <w:rPr>
                      <w:sz w:val="21"/>
                    </w:rPr>
                    <w:t>歴史</w:t>
                  </w:r>
                  <w:r>
                    <w:rPr>
                      <w:sz w:val="21"/>
                    </w:rPr>
                    <w:t>と</w:t>
                  </w:r>
                  <w:r>
                    <w:rPr>
                      <w:sz w:val="21"/>
                    </w:rPr>
                    <w:t>文化</w:t>
                  </w:r>
                  <w:r>
                    <w:rPr>
                      <w:sz w:val="21"/>
                    </w:rPr>
                    <w:t>.</w:t>
                  </w:r>
                </w:p>
              </w:tc>
              <w:tc>
                <w:tcPr>
                  <w:tcW w:type="dxa" w:w="489"/>
                  <w:tcBorders>
                    <w:top w:val="none" w:color="000000" w:sz="4"/>
                    <w:left w:val="none" w:color="000000" w:sz="4"/>
                    <w:bottom w:val="single" w:color="000000" w:sz="4"/>
                    <w:right w:val="single" w:color="000000" w:sz="4"/>
                  </w:tcBorders>
                  <w:vAlign w:val="top"/>
                </w:tcPr>
                <w:p>
                  <w:pPr>
                    <w:jc w:val="both"/>
                  </w:pPr>
                  <w:r>
                    <w:rPr>
                      <w:sz w:val="21"/>
                    </w:rPr>
                    <w:t>1</w:t>
                  </w:r>
                </w:p>
              </w:tc>
              <w:tc>
                <w:tcPr>
                  <w:tcW w:type="dxa" w:w="1773"/>
                  <w:tcBorders>
                    <w:top w:val="none" w:color="000000" w:sz="4"/>
                    <w:left w:val="none" w:color="000000" w:sz="4"/>
                    <w:bottom w:val="single" w:color="000000" w:sz="4"/>
                    <w:right w:val="single" w:color="000000" w:sz="4"/>
                  </w:tcBorders>
                  <w:vAlign w:val="top"/>
                </w:tcPr>
                <w:p>
                  <w:pPr>
                    <w:jc w:val="both"/>
                  </w:pPr>
                  <w:r>
                    <w:rPr>
                      <w:sz w:val="21"/>
                    </w:rPr>
                    <w:t>山川出版社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294D0133</w:t>
                  </w:r>
                </w:p>
              </w:tc>
              <w:tc>
                <w:tcPr>
                  <w:tcW w:type="dxa" w:w="621"/>
                  <w:tcBorders>
                    <w:top w:val="none" w:color="000000" w:sz="4"/>
                    <w:left w:val="none" w:color="000000" w:sz="4"/>
                    <w:bottom w:val="single" w:color="000000" w:sz="4"/>
                    <w:right w:val="single" w:color="000000" w:sz="4"/>
                  </w:tcBorders>
                  <w:vAlign w:val="top"/>
                </w:tcPr>
                <w:p>
                  <w:pPr>
                    <w:jc w:val="both"/>
                  </w:pPr>
                </w:p>
              </w:tc>
              <w:tc>
                <w:tcPr>
                  <w:tcW w:type="dxa" w:w="1707"/>
                  <w:tcBorders>
                    <w:top w:val="none" w:color="000000" w:sz="4"/>
                    <w:left w:val="none" w:color="000000" w:sz="4"/>
                    <w:bottom w:val="single" w:color="000000" w:sz="4"/>
                    <w:right w:val="single" w:color="000000" w:sz="4"/>
                  </w:tcBorders>
                  <w:vAlign w:val="top"/>
                </w:tcPr>
                <w:p>
                  <w:pPr>
                    <w:jc w:val="both"/>
                  </w:pPr>
                  <w:r>
                    <w:rPr>
                      <w:sz w:val="21"/>
                    </w:rPr>
                    <w:t>コマ</w:t>
                  </w:r>
                  <w:r>
                    <w:rPr>
                      <w:sz w:val="21"/>
                    </w:rPr>
                    <w:t>-</w:t>
                  </w:r>
                  <w:r>
                    <w:rPr>
                      <w:sz w:val="21"/>
                    </w:rPr>
                    <w:t>シャル·フォト</w:t>
                  </w:r>
                  <w:r>
                    <w:rPr>
                      <w:sz w:val="21"/>
                    </w:rPr>
                    <w:t>/Commercial Photo.</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玄光社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480B0089</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0010-3519</w:t>
                  </w:r>
                </w:p>
              </w:tc>
              <w:tc>
                <w:tcPr>
                  <w:tcW w:type="dxa" w:w="1707"/>
                  <w:tcBorders>
                    <w:top w:val="none" w:color="000000" w:sz="4"/>
                    <w:left w:val="none" w:color="000000" w:sz="4"/>
                    <w:bottom w:val="single" w:color="000000" w:sz="4"/>
                    <w:right w:val="single" w:color="000000" w:sz="4"/>
                  </w:tcBorders>
                  <w:vAlign w:val="top"/>
                </w:tcPr>
                <w:p>
                  <w:pPr>
                    <w:jc w:val="both"/>
                  </w:pPr>
                  <w:r>
                    <w:rPr>
                      <w:sz w:val="21"/>
                    </w:rPr>
                    <w:t>Communication Arts.</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Coyne &amp; Blanchard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w:t>
                  </w:r>
                </w:p>
              </w:tc>
              <w:tc>
                <w:tcPr>
                  <w:tcW w:type="dxa" w:w="661"/>
                  <w:tcBorders>
                    <w:top w:val="none" w:color="000000" w:sz="4"/>
                    <w:left w:val="none" w:color="000000" w:sz="4"/>
                    <w:bottom w:val="single" w:color="000000" w:sz="4"/>
                    <w:right w:val="single" w:color="000000" w:sz="4"/>
                  </w:tcBorders>
                  <w:vAlign w:val="top"/>
                </w:tcPr>
                <w:p>
                  <w:pPr>
                    <w:jc w:val="both"/>
                  </w:pPr>
                  <w:r>
                    <w:rPr>
                      <w:sz w:val="21"/>
                    </w:rPr>
                    <w:t>863MC001</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0012-5377</w:t>
                  </w:r>
                </w:p>
              </w:tc>
              <w:tc>
                <w:tcPr>
                  <w:tcW w:type="dxa" w:w="1707"/>
                  <w:tcBorders>
                    <w:top w:val="none" w:color="000000" w:sz="4"/>
                    <w:left w:val="none" w:color="000000" w:sz="4"/>
                    <w:bottom w:val="single" w:color="000000" w:sz="4"/>
                    <w:right w:val="single" w:color="000000" w:sz="4"/>
                  </w:tcBorders>
                  <w:vAlign w:val="top"/>
                </w:tcPr>
                <w:p>
                  <w:pPr>
                    <w:jc w:val="both"/>
                  </w:pPr>
                  <w:r>
                    <w:rPr>
                      <w:sz w:val="21"/>
                    </w:rPr>
                    <w:t>Domus.</w:t>
                  </w:r>
                </w:p>
              </w:tc>
              <w:tc>
                <w:tcPr>
                  <w:tcW w:type="dxa" w:w="489"/>
                  <w:tcBorders>
                    <w:top w:val="none" w:color="000000" w:sz="4"/>
                    <w:left w:val="none" w:color="000000" w:sz="4"/>
                    <w:bottom w:val="single" w:color="000000" w:sz="4"/>
                    <w:right w:val="single" w:color="000000" w:sz="4"/>
                  </w:tcBorders>
                  <w:vAlign w:val="top"/>
                </w:tcPr>
                <w:p>
                  <w:pPr>
                    <w:jc w:val="both"/>
                  </w:pPr>
                  <w:r>
                    <w:rPr>
                      <w:sz w:val="21"/>
                    </w:rPr>
                    <w:t>11</w:t>
                  </w:r>
                </w:p>
              </w:tc>
              <w:tc>
                <w:tcPr>
                  <w:tcW w:type="dxa" w:w="1773"/>
                  <w:tcBorders>
                    <w:top w:val="none" w:color="000000" w:sz="4"/>
                    <w:left w:val="none" w:color="000000" w:sz="4"/>
                    <w:bottom w:val="single" w:color="000000" w:sz="4"/>
                    <w:right w:val="single" w:color="000000" w:sz="4"/>
                  </w:tcBorders>
                  <w:vAlign w:val="top"/>
                </w:tcPr>
                <w:p>
                  <w:pPr>
                    <w:jc w:val="both"/>
                  </w:pPr>
                  <w:r>
                    <w:rPr>
                      <w:sz w:val="21"/>
                    </w:rPr>
                    <w:t>Editoriale Domus S.p.A..</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5</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294D0064</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0019-1299</w:t>
                  </w:r>
                </w:p>
              </w:tc>
              <w:tc>
                <w:tcPr>
                  <w:tcW w:type="dxa" w:w="1707"/>
                  <w:tcBorders>
                    <w:top w:val="none" w:color="000000" w:sz="4"/>
                    <w:left w:val="none" w:color="000000" w:sz="4"/>
                    <w:bottom w:val="single" w:color="000000" w:sz="4"/>
                    <w:right w:val="single" w:color="000000" w:sz="4"/>
                  </w:tcBorders>
                  <w:vAlign w:val="top"/>
                </w:tcPr>
                <w:p>
                  <w:pPr>
                    <w:jc w:val="both"/>
                  </w:pPr>
                  <w:r>
                    <w:rPr>
                      <w:sz w:val="21"/>
                    </w:rPr>
                    <w:t>アイデア</w:t>
                  </w:r>
                  <w:r>
                    <w:rPr>
                      <w:sz w:val="21"/>
                    </w:rPr>
                    <w:t>/Idea.</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誠文堂新光社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6</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714B0063-A</w:t>
                  </w:r>
                </w:p>
              </w:tc>
              <w:tc>
                <w:tcPr>
                  <w:tcW w:type="dxa" w:w="621"/>
                  <w:tcBorders>
                    <w:top w:val="none" w:color="000000" w:sz="4"/>
                    <w:left w:val="none" w:color="000000" w:sz="4"/>
                    <w:bottom w:val="single" w:color="000000" w:sz="4"/>
                    <w:right w:val="single" w:color="000000" w:sz="4"/>
                  </w:tcBorders>
                  <w:vAlign w:val="top"/>
                </w:tcPr>
                <w:p>
                  <w:pPr>
                    <w:jc w:val="both"/>
                  </w:pPr>
                  <w:r>
                    <w:rPr>
                      <w:sz w:val="21"/>
                    </w:rPr>
                    <w:t>0025-1909</w:t>
                  </w:r>
                </w:p>
              </w:tc>
              <w:tc>
                <w:tcPr>
                  <w:tcW w:type="dxa" w:w="1707"/>
                  <w:tcBorders>
                    <w:top w:val="none" w:color="000000" w:sz="4"/>
                    <w:left w:val="none" w:color="000000" w:sz="4"/>
                    <w:bottom w:val="single" w:color="000000" w:sz="4"/>
                    <w:right w:val="single" w:color="000000" w:sz="4"/>
                  </w:tcBorders>
                  <w:vAlign w:val="top"/>
                </w:tcPr>
                <w:p>
                  <w:pPr>
                    <w:jc w:val="both"/>
                  </w:pPr>
                  <w:r>
                    <w:rPr>
                      <w:sz w:val="21"/>
                    </w:rPr>
                    <w:t>Management Science.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INFORMS.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7</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410C0248/IP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0026-7937</w:t>
                  </w:r>
                </w:p>
              </w:tc>
              <w:tc>
                <w:tcPr>
                  <w:tcW w:type="dxa" w:w="1707"/>
                  <w:tcBorders>
                    <w:top w:val="none" w:color="000000" w:sz="4"/>
                    <w:left w:val="none" w:color="000000" w:sz="4"/>
                    <w:bottom w:val="single" w:color="000000" w:sz="4"/>
                    <w:right w:val="single" w:color="000000" w:sz="4"/>
                  </w:tcBorders>
                  <w:vAlign w:val="top"/>
                </w:tcPr>
                <w:p>
                  <w:pPr>
                    <w:jc w:val="both"/>
                  </w:pPr>
                  <w:r>
                    <w:rPr>
                      <w:sz w:val="21"/>
                    </w:rPr>
                    <w:t>Modern Language Review.</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Modern Humanities Research Association (MHRA)</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8</w:t>
                  </w:r>
                </w:p>
              </w:tc>
              <w:tc>
                <w:tcPr>
                  <w:tcW w:type="dxa" w:w="661"/>
                  <w:tcBorders>
                    <w:top w:val="none" w:color="000000" w:sz="4"/>
                    <w:left w:val="none" w:color="000000" w:sz="4"/>
                    <w:bottom w:val="single" w:color="000000" w:sz="4"/>
                    <w:right w:val="single" w:color="000000" w:sz="4"/>
                  </w:tcBorders>
                  <w:vAlign w:val="top"/>
                </w:tcPr>
                <w:p>
                  <w:pPr>
                    <w:jc w:val="both"/>
                  </w:pPr>
                  <w:r>
                    <w:rPr>
                      <w:sz w:val="21"/>
                    </w:rPr>
                    <w:t>375C0071</w:t>
                  </w:r>
                </w:p>
              </w:tc>
              <w:tc>
                <w:tcPr>
                  <w:tcW w:type="dxa" w:w="621"/>
                  <w:tcBorders>
                    <w:top w:val="none" w:color="000000" w:sz="4"/>
                    <w:left w:val="none" w:color="000000" w:sz="4"/>
                    <w:bottom w:val="single" w:color="000000" w:sz="4"/>
                    <w:right w:val="single" w:color="000000" w:sz="4"/>
                  </w:tcBorders>
                  <w:vAlign w:val="top"/>
                </w:tcPr>
                <w:p>
                  <w:pPr>
                    <w:jc w:val="both"/>
                  </w:pPr>
                  <w:r>
                    <w:rPr>
                      <w:sz w:val="21"/>
                    </w:rPr>
                    <w:t>2514-9288</w:t>
                  </w:r>
                </w:p>
              </w:tc>
              <w:tc>
                <w:tcPr>
                  <w:tcW w:type="dxa" w:w="1707"/>
                  <w:tcBorders>
                    <w:top w:val="none" w:color="000000" w:sz="4"/>
                    <w:left w:val="none" w:color="000000" w:sz="4"/>
                    <w:bottom w:val="single" w:color="000000" w:sz="4"/>
                    <w:right w:val="single" w:color="000000" w:sz="4"/>
                  </w:tcBorders>
                  <w:vAlign w:val="top"/>
                </w:tcPr>
                <w:p>
                  <w:pPr>
                    <w:jc w:val="both"/>
                  </w:pPr>
                  <w:r>
                    <w:rPr>
                      <w:sz w:val="21"/>
                    </w:rPr>
                    <w:t>Data Technologies and Applications.</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9</w:t>
                  </w:r>
                </w:p>
              </w:tc>
              <w:tc>
                <w:tcPr>
                  <w:tcW w:type="dxa" w:w="661"/>
                  <w:tcBorders>
                    <w:top w:val="none" w:color="000000" w:sz="4"/>
                    <w:left w:val="none" w:color="000000" w:sz="4"/>
                    <w:bottom w:val="single" w:color="000000" w:sz="4"/>
                    <w:right w:val="single" w:color="000000" w:sz="4"/>
                  </w:tcBorders>
                  <w:vAlign w:val="top"/>
                </w:tcPr>
                <w:p>
                  <w:pPr>
                    <w:jc w:val="both"/>
                  </w:pPr>
                  <w:r>
                    <w:rPr>
                      <w:sz w:val="21"/>
                    </w:rPr>
                    <w:t>300B0015-1</w:t>
                  </w:r>
                </w:p>
              </w:tc>
              <w:tc>
                <w:tcPr>
                  <w:tcW w:type="dxa" w:w="621"/>
                  <w:tcBorders>
                    <w:top w:val="none" w:color="000000" w:sz="4"/>
                    <w:left w:val="none" w:color="000000" w:sz="4"/>
                    <w:bottom w:val="single" w:color="000000" w:sz="4"/>
                    <w:right w:val="single" w:color="000000" w:sz="4"/>
                  </w:tcBorders>
                  <w:vAlign w:val="top"/>
                </w:tcPr>
                <w:p>
                  <w:pPr>
                    <w:jc w:val="both"/>
                  </w:pPr>
                  <w:r>
                    <w:rPr>
                      <w:sz w:val="21"/>
                    </w:rPr>
                    <w:t>0034-0375</w:t>
                  </w:r>
                </w:p>
              </w:tc>
              <w:tc>
                <w:tcPr>
                  <w:tcW w:type="dxa" w:w="1707"/>
                  <w:tcBorders>
                    <w:top w:val="none" w:color="000000" w:sz="4"/>
                    <w:left w:val="none" w:color="000000" w:sz="4"/>
                    <w:bottom w:val="single" w:color="000000" w:sz="4"/>
                    <w:right w:val="single" w:color="000000" w:sz="4"/>
                  </w:tcBorders>
                  <w:vAlign w:val="top"/>
                </w:tcPr>
                <w:p>
                  <w:pPr>
                    <w:jc w:val="both"/>
                  </w:pPr>
                  <w:r>
                    <w:rPr>
                      <w:sz w:val="21"/>
                    </w:rPr>
                    <w:t>Reader's Digest. (U.S. Ed.)</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读者文摘远东有限公司</w:t>
                  </w:r>
                  <w:r>
                    <w:rPr>
                      <w:sz w:val="21"/>
                    </w:rPr>
                    <w:t>/Reader's Digest Association Far East Ltd..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10</w:t>
                  </w:r>
                </w:p>
              </w:tc>
              <w:tc>
                <w:tcPr>
                  <w:tcW w:type="dxa" w:w="661"/>
                  <w:tcBorders>
                    <w:top w:val="none" w:color="000000" w:sz="4"/>
                    <w:left w:val="none" w:color="000000" w:sz="4"/>
                    <w:bottom w:val="single" w:color="000000" w:sz="4"/>
                    <w:right w:val="single" w:color="000000" w:sz="4"/>
                  </w:tcBorders>
                  <w:vAlign w:val="top"/>
                </w:tcPr>
                <w:p>
                  <w:pPr>
                    <w:jc w:val="both"/>
                  </w:pPr>
                  <w:r>
                    <w:rPr>
                      <w:sz w:val="21"/>
                    </w:rPr>
                    <w:t>500B0008</w:t>
                  </w:r>
                </w:p>
              </w:tc>
              <w:tc>
                <w:tcPr>
                  <w:tcW w:type="dxa" w:w="621"/>
                  <w:tcBorders>
                    <w:top w:val="none" w:color="000000" w:sz="4"/>
                    <w:left w:val="none" w:color="000000" w:sz="4"/>
                    <w:bottom w:val="single" w:color="000000" w:sz="4"/>
                    <w:right w:val="single" w:color="000000" w:sz="4"/>
                  </w:tcBorders>
                  <w:vAlign w:val="top"/>
                </w:tcPr>
                <w:p>
                  <w:pPr>
                    <w:jc w:val="both"/>
                  </w:pPr>
                  <w:r>
                    <w:rPr>
                      <w:sz w:val="21"/>
                    </w:rPr>
                    <w:t>0036-8075</w:t>
                  </w:r>
                </w:p>
              </w:tc>
              <w:tc>
                <w:tcPr>
                  <w:tcW w:type="dxa" w:w="1707"/>
                  <w:tcBorders>
                    <w:top w:val="none" w:color="000000" w:sz="4"/>
                    <w:left w:val="none" w:color="000000" w:sz="4"/>
                    <w:bottom w:val="single" w:color="000000" w:sz="4"/>
                    <w:right w:val="single" w:color="000000" w:sz="4"/>
                  </w:tcBorders>
                  <w:vAlign w:val="top"/>
                </w:tcPr>
                <w:p>
                  <w:pPr>
                    <w:jc w:val="both"/>
                  </w:pPr>
                  <w:r>
                    <w:rPr>
                      <w:sz w:val="21"/>
                    </w:rPr>
                    <w:t>Science.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52</w:t>
                  </w:r>
                </w:p>
              </w:tc>
              <w:tc>
                <w:tcPr>
                  <w:tcW w:type="dxa" w:w="1773"/>
                  <w:tcBorders>
                    <w:top w:val="none" w:color="000000" w:sz="4"/>
                    <w:left w:val="none" w:color="000000" w:sz="4"/>
                    <w:bottom w:val="single" w:color="000000" w:sz="4"/>
                    <w:right w:val="single" w:color="000000" w:sz="4"/>
                  </w:tcBorders>
                  <w:vAlign w:val="top"/>
                </w:tcPr>
                <w:p>
                  <w:pPr>
                    <w:jc w:val="both"/>
                  </w:pPr>
                  <w:r>
                    <w:rPr>
                      <w:sz w:val="21"/>
                    </w:rPr>
                    <w:t>American Association for Advancement of Science.</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11</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294B0166</w:t>
                  </w:r>
                </w:p>
              </w:tc>
              <w:tc>
                <w:tcPr>
                  <w:tcW w:type="dxa" w:w="621"/>
                  <w:tcBorders>
                    <w:top w:val="none" w:color="000000" w:sz="4"/>
                    <w:left w:val="none" w:color="000000" w:sz="4"/>
                    <w:bottom w:val="single" w:color="000000" w:sz="4"/>
                    <w:right w:val="single" w:color="000000" w:sz="4"/>
                  </w:tcBorders>
                  <w:vAlign w:val="top"/>
                </w:tcPr>
                <w:p>
                  <w:pPr>
                    <w:jc w:val="both"/>
                  </w:pPr>
                  <w:r>
                    <w:rPr>
                      <w:sz w:val="21"/>
                    </w:rPr>
                    <w:t>0037-5063</w:t>
                  </w:r>
                </w:p>
              </w:tc>
              <w:tc>
                <w:tcPr>
                  <w:tcW w:type="dxa" w:w="1707"/>
                  <w:tcBorders>
                    <w:top w:val="none" w:color="000000" w:sz="4"/>
                    <w:left w:val="none" w:color="000000" w:sz="4"/>
                    <w:bottom w:val="single" w:color="000000" w:sz="4"/>
                    <w:right w:val="single" w:color="000000" w:sz="4"/>
                  </w:tcBorders>
                  <w:vAlign w:val="top"/>
                </w:tcPr>
                <w:p>
                  <w:pPr>
                    <w:jc w:val="both"/>
                  </w:pPr>
                  <w:r>
                    <w:rPr>
                      <w:sz w:val="21"/>
                    </w:rPr>
                    <w:t>Signs of the Times.</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ST Publications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12</w:t>
                  </w:r>
                </w:p>
              </w:tc>
              <w:tc>
                <w:tcPr>
                  <w:tcW w:type="dxa" w:w="661"/>
                  <w:tcBorders>
                    <w:top w:val="none" w:color="000000" w:sz="4"/>
                    <w:left w:val="none" w:color="000000" w:sz="4"/>
                    <w:bottom w:val="single" w:color="000000" w:sz="4"/>
                    <w:right w:val="single" w:color="000000" w:sz="4"/>
                  </w:tcBorders>
                  <w:vAlign w:val="top"/>
                </w:tcPr>
                <w:p>
                  <w:pPr>
                    <w:jc w:val="both"/>
                  </w:pPr>
                  <w:r>
                    <w:rPr>
                      <w:sz w:val="21"/>
                    </w:rPr>
                    <w:t>485E0063</w:t>
                  </w:r>
                </w:p>
              </w:tc>
              <w:tc>
                <w:tcPr>
                  <w:tcW w:type="dxa" w:w="621"/>
                  <w:tcBorders>
                    <w:top w:val="none" w:color="000000" w:sz="4"/>
                    <w:left w:val="none" w:color="000000" w:sz="4"/>
                    <w:bottom w:val="single" w:color="000000" w:sz="4"/>
                    <w:right w:val="single" w:color="000000" w:sz="4"/>
                  </w:tcBorders>
                  <w:vAlign w:val="top"/>
                </w:tcPr>
                <w:p>
                  <w:pPr>
                    <w:jc w:val="both"/>
                  </w:pPr>
                  <w:r>
                    <w:rPr>
                      <w:sz w:val="21"/>
                    </w:rPr>
                    <w:t>0172-7028</w:t>
                  </w:r>
                </w:p>
              </w:tc>
              <w:tc>
                <w:tcPr>
                  <w:tcW w:type="dxa" w:w="1707"/>
                  <w:tcBorders>
                    <w:top w:val="none" w:color="000000" w:sz="4"/>
                    <w:left w:val="none" w:color="000000" w:sz="4"/>
                    <w:bottom w:val="single" w:color="000000" w:sz="4"/>
                    <w:right w:val="single" w:color="000000" w:sz="4"/>
                  </w:tcBorders>
                  <w:vAlign w:val="top"/>
                </w:tcPr>
                <w:p>
                  <w:pPr>
                    <w:jc w:val="both"/>
                  </w:pPr>
                  <w:r>
                    <w:rPr>
                      <w:sz w:val="21"/>
                    </w:rPr>
                    <w:t>European Photography.</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European Photography.</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13</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480E0062</w:t>
                  </w:r>
                </w:p>
              </w:tc>
              <w:tc>
                <w:tcPr>
                  <w:tcW w:type="dxa" w:w="621"/>
                  <w:tcBorders>
                    <w:top w:val="none" w:color="000000" w:sz="4"/>
                    <w:left w:val="none" w:color="000000" w:sz="4"/>
                    <w:bottom w:val="single" w:color="000000" w:sz="4"/>
                    <w:right w:val="single" w:color="000000" w:sz="4"/>
                  </w:tcBorders>
                  <w:vAlign w:val="top"/>
                </w:tcPr>
                <w:p>
                  <w:pPr>
                    <w:jc w:val="both"/>
                  </w:pPr>
                  <w:r>
                    <w:rPr>
                      <w:sz w:val="21"/>
                    </w:rPr>
                    <w:t>0173-2781</w:t>
                  </w:r>
                </w:p>
              </w:tc>
              <w:tc>
                <w:tcPr>
                  <w:tcW w:type="dxa" w:w="1707"/>
                  <w:tcBorders>
                    <w:top w:val="none" w:color="000000" w:sz="4"/>
                    <w:left w:val="none" w:color="000000" w:sz="4"/>
                    <w:bottom w:val="single" w:color="000000" w:sz="4"/>
                    <w:right w:val="single" w:color="000000" w:sz="4"/>
                  </w:tcBorders>
                  <w:vAlign w:val="top"/>
                </w:tcPr>
                <w:p>
                  <w:pPr>
                    <w:jc w:val="both"/>
                  </w:pPr>
                  <w:r>
                    <w:rPr>
                      <w:sz w:val="21"/>
                    </w:rPr>
                    <w:t>Art.</w:t>
                  </w:r>
                </w:p>
              </w:tc>
              <w:tc>
                <w:tcPr>
                  <w:tcW w:type="dxa" w:w="489"/>
                  <w:tcBorders>
                    <w:top w:val="none" w:color="000000" w:sz="4"/>
                    <w:left w:val="none" w:color="000000" w:sz="4"/>
                    <w:bottom w:val="single" w:color="000000" w:sz="4"/>
                    <w:right w:val="single" w:color="000000" w:sz="4"/>
                  </w:tcBorders>
                  <w:vAlign w:val="top"/>
                </w:tcPr>
                <w:p>
                  <w:pPr>
                    <w:jc w:val="both"/>
                  </w:pPr>
                  <w:r>
                    <w:rPr>
                      <w:sz w:val="21"/>
                    </w:rPr>
                    <w:t>12</w:t>
                  </w:r>
                </w:p>
              </w:tc>
              <w:tc>
                <w:tcPr>
                  <w:tcW w:type="dxa" w:w="1773"/>
                  <w:tcBorders>
                    <w:top w:val="none" w:color="000000" w:sz="4"/>
                    <w:left w:val="none" w:color="000000" w:sz="4"/>
                    <w:bottom w:val="single" w:color="000000" w:sz="4"/>
                    <w:right w:val="single" w:color="000000" w:sz="4"/>
                  </w:tcBorders>
                  <w:vAlign w:val="top"/>
                </w:tcPr>
                <w:p>
                  <w:pPr>
                    <w:jc w:val="both"/>
                  </w:pPr>
                  <w:r>
                    <w:rPr>
                      <w:sz w:val="21"/>
                    </w:rPr>
                    <w:t>Gruner + Jahr AG &amp; Co..</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14</w:t>
                  </w:r>
                </w:p>
              </w:tc>
              <w:tc>
                <w:tcPr>
                  <w:tcW w:type="dxa" w:w="661"/>
                  <w:tcBorders>
                    <w:top w:val="none" w:color="000000" w:sz="4"/>
                    <w:left w:val="none" w:color="000000" w:sz="4"/>
                    <w:bottom w:val="single" w:color="000000" w:sz="4"/>
                    <w:right w:val="single" w:color="000000" w:sz="4"/>
                  </w:tcBorders>
                  <w:vAlign w:val="top"/>
                </w:tcPr>
                <w:p>
                  <w:pPr>
                    <w:jc w:val="both"/>
                  </w:pPr>
                  <w:r>
                    <w:rPr>
                      <w:sz w:val="21"/>
                    </w:rPr>
                    <w:t>738LB014</w:t>
                  </w:r>
                </w:p>
              </w:tc>
              <w:tc>
                <w:tcPr>
                  <w:tcW w:type="dxa" w:w="621"/>
                  <w:tcBorders>
                    <w:top w:val="none" w:color="000000" w:sz="4"/>
                    <w:left w:val="none" w:color="000000" w:sz="4"/>
                    <w:bottom w:val="single" w:color="000000" w:sz="4"/>
                    <w:right w:val="single" w:color="000000" w:sz="4"/>
                  </w:tcBorders>
                  <w:vAlign w:val="top"/>
                </w:tcPr>
                <w:p>
                  <w:pPr>
                    <w:jc w:val="both"/>
                  </w:pPr>
                  <w:r>
                    <w:rPr>
                      <w:sz w:val="21"/>
                    </w:rPr>
                    <w:t>0269-2821</w:t>
                  </w:r>
                </w:p>
              </w:tc>
              <w:tc>
                <w:tcPr>
                  <w:tcW w:type="dxa" w:w="1707"/>
                  <w:tcBorders>
                    <w:top w:val="none" w:color="000000" w:sz="4"/>
                    <w:left w:val="none" w:color="000000" w:sz="4"/>
                    <w:bottom w:val="single" w:color="000000" w:sz="4"/>
                    <w:right w:val="single" w:color="000000" w:sz="4"/>
                  </w:tcBorders>
                  <w:vAlign w:val="top"/>
                </w:tcPr>
                <w:p>
                  <w:pPr>
                    <w:jc w:val="both"/>
                  </w:pPr>
                  <w:r>
                    <w:rPr>
                      <w:sz w:val="21"/>
                    </w:rPr>
                    <w:t>Artificial Intelligence Review.</w:t>
                  </w:r>
                </w:p>
              </w:tc>
              <w:tc>
                <w:tcPr>
                  <w:tcW w:type="dxa" w:w="489"/>
                  <w:tcBorders>
                    <w:top w:val="none" w:color="000000" w:sz="4"/>
                    <w:left w:val="none" w:color="000000" w:sz="4"/>
                    <w:bottom w:val="single" w:color="000000" w:sz="4"/>
                    <w:right w:val="single" w:color="000000" w:sz="4"/>
                  </w:tcBorders>
                  <w:vAlign w:val="top"/>
                </w:tcPr>
                <w:p>
                  <w:pPr>
                    <w:jc w:val="both"/>
                  </w:pPr>
                  <w:r>
                    <w:rPr>
                      <w:sz w:val="21"/>
                    </w:rPr>
                    <w:t>8</w:t>
                  </w:r>
                </w:p>
              </w:tc>
              <w:tc>
                <w:tcPr>
                  <w:tcW w:type="dxa" w:w="1773"/>
                  <w:tcBorders>
                    <w:top w:val="none" w:color="000000" w:sz="4"/>
                    <w:left w:val="none" w:color="000000" w:sz="4"/>
                    <w:bottom w:val="single" w:color="000000" w:sz="4"/>
                    <w:right w:val="single" w:color="000000" w:sz="4"/>
                  </w:tcBorders>
                  <w:vAlign w:val="top"/>
                </w:tcPr>
                <w:p>
                  <w:pPr>
                    <w:jc w:val="both"/>
                  </w:pPr>
                  <w:r>
                    <w:rPr>
                      <w:sz w:val="21"/>
                    </w:rPr>
                    <w:t>Springer.</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15</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410C0022</w:t>
                  </w:r>
                </w:p>
              </w:tc>
              <w:tc>
                <w:tcPr>
                  <w:tcW w:type="dxa" w:w="621"/>
                  <w:tcBorders>
                    <w:top w:val="none" w:color="000000" w:sz="4"/>
                    <w:left w:val="none" w:color="000000" w:sz="4"/>
                    <w:bottom w:val="single" w:color="000000" w:sz="4"/>
                    <w:right w:val="single" w:color="000000" w:sz="4"/>
                  </w:tcBorders>
                  <w:vAlign w:val="top"/>
                </w:tcPr>
                <w:p>
                  <w:pPr>
                    <w:jc w:val="both"/>
                  </w:pPr>
                  <w:r>
                    <w:rPr>
                      <w:sz w:val="21"/>
                    </w:rPr>
                    <w:t>0272-2631</w:t>
                  </w:r>
                </w:p>
              </w:tc>
              <w:tc>
                <w:tcPr>
                  <w:tcW w:type="dxa" w:w="1707"/>
                  <w:tcBorders>
                    <w:top w:val="none" w:color="000000" w:sz="4"/>
                    <w:left w:val="none" w:color="000000" w:sz="4"/>
                    <w:bottom w:val="single" w:color="000000" w:sz="4"/>
                    <w:right w:val="single" w:color="000000" w:sz="4"/>
                  </w:tcBorders>
                  <w:vAlign w:val="top"/>
                </w:tcPr>
                <w:p>
                  <w:pPr>
                    <w:jc w:val="both"/>
                  </w:pPr>
                  <w:r>
                    <w:rPr>
                      <w:sz w:val="21"/>
                    </w:rPr>
                    <w:t>Studies in Second Language Acquisition.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5</w:t>
                  </w:r>
                </w:p>
              </w:tc>
              <w:tc>
                <w:tcPr>
                  <w:tcW w:type="dxa" w:w="1773"/>
                  <w:tcBorders>
                    <w:top w:val="none" w:color="000000" w:sz="4"/>
                    <w:left w:val="none" w:color="000000" w:sz="4"/>
                    <w:bottom w:val="single" w:color="000000" w:sz="4"/>
                    <w:right w:val="single" w:color="000000" w:sz="4"/>
                  </w:tcBorders>
                  <w:vAlign w:val="top"/>
                </w:tcPr>
                <w:p>
                  <w:pPr>
                    <w:jc w:val="both"/>
                  </w:pPr>
                  <w:r>
                    <w:rPr>
                      <w:sz w:val="21"/>
                    </w:rPr>
                    <w:t>Cambridge University Press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16</w:t>
                  </w:r>
                </w:p>
              </w:tc>
              <w:tc>
                <w:tcPr>
                  <w:tcW w:type="dxa" w:w="661"/>
                  <w:tcBorders>
                    <w:top w:val="none" w:color="000000" w:sz="4"/>
                    <w:left w:val="none" w:color="000000" w:sz="4"/>
                    <w:bottom w:val="single" w:color="000000" w:sz="4"/>
                    <w:right w:val="single" w:color="000000" w:sz="4"/>
                  </w:tcBorders>
                  <w:vAlign w:val="top"/>
                </w:tcPr>
                <w:p>
                  <w:pPr>
                    <w:jc w:val="both"/>
                  </w:pPr>
                  <w:r>
                    <w:rPr>
                      <w:sz w:val="21"/>
                    </w:rPr>
                    <w:t>510B0001</w:t>
                  </w:r>
                </w:p>
              </w:tc>
              <w:tc>
                <w:tcPr>
                  <w:tcW w:type="dxa" w:w="621"/>
                  <w:tcBorders>
                    <w:top w:val="none" w:color="000000" w:sz="4"/>
                    <w:left w:val="none" w:color="000000" w:sz="4"/>
                    <w:bottom w:val="single" w:color="000000" w:sz="4"/>
                    <w:right w:val="single" w:color="000000" w:sz="4"/>
                  </w:tcBorders>
                  <w:vAlign w:val="top"/>
                </w:tcPr>
                <w:p>
                  <w:pPr>
                    <w:jc w:val="both"/>
                  </w:pPr>
                  <w:r>
                    <w:rPr>
                      <w:sz w:val="21"/>
                    </w:rPr>
                    <w:t>0273-0979</w:t>
                  </w:r>
                </w:p>
              </w:tc>
              <w:tc>
                <w:tcPr>
                  <w:tcW w:type="dxa" w:w="1707"/>
                  <w:tcBorders>
                    <w:top w:val="none" w:color="000000" w:sz="4"/>
                    <w:left w:val="none" w:color="000000" w:sz="4"/>
                    <w:bottom w:val="single" w:color="000000" w:sz="4"/>
                    <w:right w:val="single" w:color="000000" w:sz="4"/>
                  </w:tcBorders>
                  <w:vAlign w:val="top"/>
                </w:tcPr>
                <w:p>
                  <w:pPr>
                    <w:jc w:val="both"/>
                  </w:pPr>
                  <w:r>
                    <w:rPr>
                      <w:sz w:val="21"/>
                    </w:rPr>
                    <w:t>Bulletin of the American Mathematical Society.</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American Mathematical Society</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17</w:t>
                  </w:r>
                </w:p>
              </w:tc>
              <w:tc>
                <w:tcPr>
                  <w:tcW w:type="dxa" w:w="661"/>
                  <w:tcBorders>
                    <w:top w:val="none" w:color="000000" w:sz="4"/>
                    <w:left w:val="none" w:color="000000" w:sz="4"/>
                    <w:bottom w:val="single" w:color="000000" w:sz="4"/>
                    <w:right w:val="single" w:color="000000" w:sz="4"/>
                  </w:tcBorders>
                  <w:vAlign w:val="top"/>
                </w:tcPr>
                <w:p>
                  <w:pPr>
                    <w:jc w:val="both"/>
                  </w:pPr>
                  <w:r>
                    <w:rPr>
                      <w:sz w:val="21"/>
                    </w:rPr>
                    <w:t>291D0065</w:t>
                  </w:r>
                </w:p>
              </w:tc>
              <w:tc>
                <w:tcPr>
                  <w:tcW w:type="dxa" w:w="621"/>
                  <w:tcBorders>
                    <w:top w:val="none" w:color="000000" w:sz="4"/>
                    <w:left w:val="none" w:color="000000" w:sz="4"/>
                    <w:bottom w:val="single" w:color="000000" w:sz="4"/>
                    <w:right w:val="single" w:color="000000" w:sz="4"/>
                  </w:tcBorders>
                  <w:vAlign w:val="top"/>
                </w:tcPr>
                <w:p>
                  <w:pPr>
                    <w:jc w:val="both"/>
                  </w:pPr>
                  <w:r>
                    <w:rPr>
                      <w:sz w:val="21"/>
                    </w:rPr>
                    <w:t>0286-9713</w:t>
                  </w:r>
                </w:p>
              </w:tc>
              <w:tc>
                <w:tcPr>
                  <w:tcW w:type="dxa" w:w="1707"/>
                  <w:tcBorders>
                    <w:top w:val="none" w:color="000000" w:sz="4"/>
                    <w:left w:val="none" w:color="000000" w:sz="4"/>
                    <w:bottom w:val="single" w:color="000000" w:sz="4"/>
                    <w:right w:val="single" w:color="000000" w:sz="4"/>
                  </w:tcBorders>
                  <w:vAlign w:val="top"/>
                </w:tcPr>
                <w:p>
                  <w:pPr>
                    <w:jc w:val="both"/>
                  </w:pPr>
                  <w:r>
                    <w:rPr>
                      <w:sz w:val="21"/>
                    </w:rPr>
                    <w:t>組織科学</w:t>
                  </w:r>
                  <w:r>
                    <w:rPr>
                      <w:sz w:val="21"/>
                    </w:rPr>
                    <w:t>/Organization Science.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白桃書房</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18</w:t>
                  </w:r>
                </w:p>
              </w:tc>
              <w:tc>
                <w:tcPr>
                  <w:tcW w:type="dxa" w:w="661"/>
                  <w:tcBorders>
                    <w:top w:val="none" w:color="000000" w:sz="4"/>
                    <w:left w:val="none" w:color="000000" w:sz="4"/>
                    <w:bottom w:val="single" w:color="000000" w:sz="4"/>
                    <w:right w:val="single" w:color="000000" w:sz="4"/>
                  </w:tcBorders>
                  <w:vAlign w:val="top"/>
                </w:tcPr>
                <w:p>
                  <w:pPr>
                    <w:jc w:val="both"/>
                  </w:pPr>
                  <w:r>
                    <w:rPr>
                      <w:sz w:val="21"/>
                    </w:rPr>
                    <w:t>420C0039/IP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0305-1498</w:t>
                  </w:r>
                </w:p>
              </w:tc>
              <w:tc>
                <w:tcPr>
                  <w:tcW w:type="dxa" w:w="1707"/>
                  <w:tcBorders>
                    <w:top w:val="none" w:color="000000" w:sz="4"/>
                    <w:left w:val="none" w:color="000000" w:sz="4"/>
                    <w:bottom w:val="single" w:color="000000" w:sz="4"/>
                    <w:right w:val="single" w:color="000000" w:sz="4"/>
                  </w:tcBorders>
                  <w:vAlign w:val="top"/>
                </w:tcPr>
                <w:p>
                  <w:pPr>
                    <w:jc w:val="both"/>
                  </w:pPr>
                  <w:r>
                    <w:rPr>
                      <w:sz w:val="21"/>
                    </w:rPr>
                    <w:t>Oxford Literary Review.</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Edinburgh University Press Ltd.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19</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410C0250/IP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0306-2473</w:t>
                  </w:r>
                </w:p>
              </w:tc>
              <w:tc>
                <w:tcPr>
                  <w:tcW w:type="dxa" w:w="1707"/>
                  <w:tcBorders>
                    <w:top w:val="none" w:color="000000" w:sz="4"/>
                    <w:left w:val="none" w:color="000000" w:sz="4"/>
                    <w:bottom w:val="single" w:color="000000" w:sz="4"/>
                    <w:right w:val="single" w:color="000000" w:sz="4"/>
                  </w:tcBorders>
                  <w:vAlign w:val="top"/>
                </w:tcPr>
                <w:p>
                  <w:pPr>
                    <w:jc w:val="both"/>
                  </w:pPr>
                  <w:r>
                    <w:rPr>
                      <w:sz w:val="21"/>
                    </w:rPr>
                    <w:t>Yearbook of English Studies.</w:t>
                  </w:r>
                </w:p>
              </w:tc>
              <w:tc>
                <w:tcPr>
                  <w:tcW w:type="dxa" w:w="489"/>
                  <w:tcBorders>
                    <w:top w:val="none" w:color="000000" w:sz="4"/>
                    <w:left w:val="none" w:color="000000" w:sz="4"/>
                    <w:bottom w:val="single" w:color="000000" w:sz="4"/>
                    <w:right w:val="single" w:color="000000" w:sz="4"/>
                  </w:tcBorders>
                  <w:vAlign w:val="top"/>
                </w:tcPr>
                <w:p>
                  <w:pPr>
                    <w:jc w:val="both"/>
                  </w:pPr>
                  <w:r>
                    <w:rPr>
                      <w:sz w:val="21"/>
                    </w:rPr>
                    <w:t>1</w:t>
                  </w:r>
                </w:p>
              </w:tc>
              <w:tc>
                <w:tcPr>
                  <w:tcW w:type="dxa" w:w="1773"/>
                  <w:tcBorders>
                    <w:top w:val="none" w:color="000000" w:sz="4"/>
                    <w:left w:val="none" w:color="000000" w:sz="4"/>
                    <w:bottom w:val="single" w:color="000000" w:sz="4"/>
                    <w:right w:val="single" w:color="000000" w:sz="4"/>
                  </w:tcBorders>
                  <w:vAlign w:val="top"/>
                </w:tcPr>
                <w:p>
                  <w:pPr>
                    <w:jc w:val="both"/>
                  </w:pPr>
                  <w:r>
                    <w:rPr>
                      <w:sz w:val="21"/>
                    </w:rPr>
                    <w:t>Modern Humanities Research Association (MHRA)</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20</w:t>
                  </w:r>
                </w:p>
              </w:tc>
              <w:tc>
                <w:tcPr>
                  <w:tcW w:type="dxa" w:w="661"/>
                  <w:tcBorders>
                    <w:top w:val="none" w:color="000000" w:sz="4"/>
                    <w:left w:val="none" w:color="000000" w:sz="4"/>
                    <w:bottom w:val="single" w:color="000000" w:sz="4"/>
                    <w:right w:val="single" w:color="000000" w:sz="4"/>
                  </w:tcBorders>
                  <w:vAlign w:val="top"/>
                </w:tcPr>
                <w:p>
                  <w:pPr>
                    <w:jc w:val="both"/>
                  </w:pPr>
                  <w:r>
                    <w:rPr>
                      <w:sz w:val="21"/>
                    </w:rPr>
                    <w:t>482D0101</w:t>
                  </w:r>
                </w:p>
              </w:tc>
              <w:tc>
                <w:tcPr>
                  <w:tcW w:type="dxa" w:w="621"/>
                  <w:tcBorders>
                    <w:top w:val="none" w:color="000000" w:sz="4"/>
                    <w:left w:val="none" w:color="000000" w:sz="4"/>
                    <w:bottom w:val="single" w:color="000000" w:sz="4"/>
                    <w:right w:val="single" w:color="000000" w:sz="4"/>
                  </w:tcBorders>
                  <w:vAlign w:val="top"/>
                </w:tcPr>
                <w:p>
                  <w:pPr>
                    <w:jc w:val="both"/>
                  </w:pPr>
                  <w:r>
                    <w:rPr>
                      <w:sz w:val="21"/>
                    </w:rPr>
                    <w:t>0389-7141</w:t>
                  </w:r>
                </w:p>
              </w:tc>
              <w:tc>
                <w:tcPr>
                  <w:tcW w:type="dxa" w:w="1707"/>
                  <w:tcBorders>
                    <w:top w:val="none" w:color="000000" w:sz="4"/>
                    <w:left w:val="none" w:color="000000" w:sz="4"/>
                    <w:bottom w:val="single" w:color="000000" w:sz="4"/>
                    <w:right w:val="single" w:color="000000" w:sz="4"/>
                  </w:tcBorders>
                  <w:vAlign w:val="top"/>
                </w:tcPr>
                <w:p>
                  <w:pPr>
                    <w:jc w:val="both"/>
                  </w:pPr>
                  <w:r>
                    <w:rPr>
                      <w:sz w:val="21"/>
                    </w:rPr>
                    <w:t>一枚の絵</w:t>
                  </w:r>
                  <w:r>
                    <w:rPr>
                      <w:sz w:val="21"/>
                    </w:rPr>
                    <w:t>.</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一枚の絵株式会社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21</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480MC006</w:t>
                  </w:r>
                </w:p>
              </w:tc>
              <w:tc>
                <w:tcPr>
                  <w:tcW w:type="dxa" w:w="621"/>
                  <w:tcBorders>
                    <w:top w:val="none" w:color="000000" w:sz="4"/>
                    <w:left w:val="none" w:color="000000" w:sz="4"/>
                    <w:bottom w:val="single" w:color="000000" w:sz="4"/>
                    <w:right w:val="single" w:color="000000" w:sz="4"/>
                  </w:tcBorders>
                  <w:vAlign w:val="top"/>
                </w:tcPr>
                <w:p>
                  <w:pPr>
                    <w:jc w:val="both"/>
                  </w:pPr>
                  <w:r>
                    <w:rPr>
                      <w:sz w:val="21"/>
                    </w:rPr>
                    <w:t>0015-3524</w:t>
                  </w:r>
                </w:p>
              </w:tc>
              <w:tc>
                <w:tcPr>
                  <w:tcW w:type="dxa" w:w="1707"/>
                  <w:tcBorders>
                    <w:top w:val="none" w:color="000000" w:sz="4"/>
                    <w:left w:val="none" w:color="000000" w:sz="4"/>
                    <w:bottom w:val="single" w:color="000000" w:sz="4"/>
                    <w:right w:val="single" w:color="000000" w:sz="4"/>
                  </w:tcBorders>
                  <w:vAlign w:val="top"/>
                </w:tcPr>
                <w:p>
                  <w:pPr>
                    <w:jc w:val="both"/>
                  </w:pPr>
                  <w:r>
                    <w:rPr>
                      <w:sz w:val="21"/>
                    </w:rPr>
                    <w:t>Flash Art International.</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Giancarlo Politi Editore.</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22</w:t>
                  </w:r>
                </w:p>
              </w:tc>
              <w:tc>
                <w:tcPr>
                  <w:tcW w:type="dxa" w:w="661"/>
                  <w:tcBorders>
                    <w:top w:val="none" w:color="000000" w:sz="4"/>
                    <w:left w:val="none" w:color="000000" w:sz="4"/>
                    <w:bottom w:val="single" w:color="000000" w:sz="4"/>
                    <w:right w:val="single" w:color="000000" w:sz="4"/>
                  </w:tcBorders>
                  <w:vAlign w:val="top"/>
                </w:tcPr>
                <w:p>
                  <w:pPr>
                    <w:jc w:val="both"/>
                  </w:pPr>
                  <w:r>
                    <w:rPr>
                      <w:sz w:val="21"/>
                    </w:rPr>
                    <w:t>110D0059</w:t>
                  </w:r>
                </w:p>
              </w:tc>
              <w:tc>
                <w:tcPr>
                  <w:tcW w:type="dxa" w:w="621"/>
                  <w:tcBorders>
                    <w:top w:val="none" w:color="000000" w:sz="4"/>
                    <w:left w:val="none" w:color="000000" w:sz="4"/>
                    <w:bottom w:val="single" w:color="000000" w:sz="4"/>
                    <w:right w:val="single" w:color="000000" w:sz="4"/>
                  </w:tcBorders>
                  <w:vAlign w:val="top"/>
                </w:tcPr>
                <w:p>
                  <w:pPr>
                    <w:jc w:val="both"/>
                  </w:pPr>
                  <w:r>
                    <w:rPr>
                      <w:sz w:val="21"/>
                    </w:rPr>
                    <w:t>0520-0962</w:t>
                  </w:r>
                </w:p>
              </w:tc>
              <w:tc>
                <w:tcPr>
                  <w:tcW w:type="dxa" w:w="1707"/>
                  <w:tcBorders>
                    <w:top w:val="none" w:color="000000" w:sz="4"/>
                    <w:left w:val="none" w:color="000000" w:sz="4"/>
                    <w:bottom w:val="single" w:color="000000" w:sz="4"/>
                    <w:right w:val="single" w:color="000000" w:sz="4"/>
                  </w:tcBorders>
                  <w:vAlign w:val="top"/>
                </w:tcPr>
                <w:p>
                  <w:pPr>
                    <w:jc w:val="both"/>
                  </w:pPr>
                  <w:r>
                    <w:rPr>
                      <w:sz w:val="21"/>
                    </w:rPr>
                    <w:t>美学</w:t>
                  </w:r>
                  <w:r>
                    <w:rPr>
                      <w:sz w:val="21"/>
                    </w:rPr>
                    <w:t>/Aesthetics.</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美术出版社</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23</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294B0198</w:t>
                  </w:r>
                </w:p>
              </w:tc>
              <w:tc>
                <w:tcPr>
                  <w:tcW w:type="dxa" w:w="621"/>
                  <w:tcBorders>
                    <w:top w:val="none" w:color="000000" w:sz="4"/>
                    <w:left w:val="none" w:color="000000" w:sz="4"/>
                    <w:bottom w:val="single" w:color="000000" w:sz="4"/>
                    <w:right w:val="single" w:color="000000" w:sz="4"/>
                  </w:tcBorders>
                  <w:vAlign w:val="top"/>
                </w:tcPr>
                <w:p>
                  <w:pPr>
                    <w:jc w:val="both"/>
                  </w:pPr>
                  <w:r>
                    <w:rPr>
                      <w:sz w:val="21"/>
                    </w:rPr>
                    <w:t>0738-3355</w:t>
                  </w:r>
                </w:p>
              </w:tc>
              <w:tc>
                <w:tcPr>
                  <w:tcW w:type="dxa" w:w="1707"/>
                  <w:tcBorders>
                    <w:top w:val="none" w:color="000000" w:sz="4"/>
                    <w:left w:val="none" w:color="000000" w:sz="4"/>
                    <w:bottom w:val="single" w:color="000000" w:sz="4"/>
                    <w:right w:val="single" w:color="000000" w:sz="4"/>
                  </w:tcBorders>
                  <w:vAlign w:val="top"/>
                </w:tcPr>
                <w:p>
                  <w:pPr>
                    <w:jc w:val="both"/>
                  </w:pPr>
                  <w:r>
                    <w:rPr>
                      <w:sz w:val="21"/>
                    </w:rPr>
                    <w:t>Technical Analysis of Stocks &amp; Commodities.</w:t>
                  </w:r>
                </w:p>
              </w:tc>
              <w:tc>
                <w:tcPr>
                  <w:tcW w:type="dxa" w:w="489"/>
                  <w:tcBorders>
                    <w:top w:val="none" w:color="000000" w:sz="4"/>
                    <w:left w:val="none" w:color="000000" w:sz="4"/>
                    <w:bottom w:val="single" w:color="000000" w:sz="4"/>
                    <w:right w:val="single" w:color="000000" w:sz="4"/>
                  </w:tcBorders>
                  <w:vAlign w:val="top"/>
                </w:tcPr>
                <w:p>
                  <w:pPr>
                    <w:jc w:val="both"/>
                  </w:pPr>
                  <w:r>
                    <w:rPr>
                      <w:sz w:val="21"/>
                    </w:rPr>
                    <w:t>13</w:t>
                  </w:r>
                </w:p>
              </w:tc>
              <w:tc>
                <w:tcPr>
                  <w:tcW w:type="dxa" w:w="1773"/>
                  <w:tcBorders>
                    <w:top w:val="none" w:color="000000" w:sz="4"/>
                    <w:left w:val="none" w:color="000000" w:sz="4"/>
                    <w:bottom w:val="single" w:color="000000" w:sz="4"/>
                    <w:right w:val="single" w:color="000000" w:sz="4"/>
                  </w:tcBorders>
                  <w:vAlign w:val="top"/>
                </w:tcPr>
                <w:p>
                  <w:pPr>
                    <w:jc w:val="both"/>
                  </w:pPr>
                  <w:r>
                    <w:rPr>
                      <w:sz w:val="21"/>
                    </w:rPr>
                    <w:t>Technical Analysis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24</w:t>
                  </w:r>
                </w:p>
              </w:tc>
              <w:tc>
                <w:tcPr>
                  <w:tcW w:type="dxa" w:w="661"/>
                  <w:tcBorders>
                    <w:top w:val="none" w:color="000000" w:sz="4"/>
                    <w:left w:val="none" w:color="000000" w:sz="4"/>
                    <w:bottom w:val="single" w:color="000000" w:sz="4"/>
                    <w:right w:val="single" w:color="000000" w:sz="4"/>
                  </w:tcBorders>
                  <w:vAlign w:val="top"/>
                </w:tcPr>
                <w:p>
                  <w:pPr>
                    <w:jc w:val="both"/>
                  </w:pPr>
                  <w:r>
                    <w:rPr>
                      <w:sz w:val="21"/>
                    </w:rPr>
                    <w:t>410B0152</w:t>
                  </w:r>
                </w:p>
              </w:tc>
              <w:tc>
                <w:tcPr>
                  <w:tcW w:type="dxa" w:w="621"/>
                  <w:tcBorders>
                    <w:top w:val="none" w:color="000000" w:sz="4"/>
                    <w:left w:val="none" w:color="000000" w:sz="4"/>
                    <w:bottom w:val="single" w:color="000000" w:sz="4"/>
                    <w:right w:val="single" w:color="000000" w:sz="4"/>
                  </w:tcBorders>
                  <w:vAlign w:val="top"/>
                </w:tcPr>
                <w:p>
                  <w:pPr>
                    <w:jc w:val="both"/>
                  </w:pPr>
                  <w:r>
                    <w:rPr>
                      <w:sz w:val="21"/>
                    </w:rPr>
                    <w:t>0835-1813</w:t>
                  </w:r>
                </w:p>
              </w:tc>
              <w:tc>
                <w:tcPr>
                  <w:tcW w:type="dxa" w:w="1707"/>
                  <w:tcBorders>
                    <w:top w:val="none" w:color="000000" w:sz="4"/>
                    <w:left w:val="none" w:color="000000" w:sz="4"/>
                    <w:bottom w:val="single" w:color="000000" w:sz="4"/>
                    <w:right w:val="single" w:color="000000" w:sz="4"/>
                  </w:tcBorders>
                  <w:vAlign w:val="top"/>
                </w:tcPr>
                <w:p>
                  <w:pPr>
                    <w:jc w:val="both"/>
                  </w:pPr>
                  <w:r>
                    <w:rPr>
                      <w:sz w:val="21"/>
                    </w:rPr>
                    <w:t>Research on Language and Social Interaction.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Taylor &amp; Francis Group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25</w:t>
                  </w:r>
                </w:p>
              </w:tc>
              <w:tc>
                <w:tcPr>
                  <w:tcW w:type="dxa" w:w="661"/>
                  <w:tcBorders>
                    <w:top w:val="none" w:color="000000" w:sz="4"/>
                    <w:left w:val="none" w:color="000000" w:sz="4"/>
                    <w:bottom w:val="single" w:color="000000" w:sz="4"/>
                    <w:right w:val="single" w:color="000000" w:sz="4"/>
                  </w:tcBorders>
                  <w:vAlign w:val="top"/>
                </w:tcPr>
                <w:p>
                  <w:pPr>
                    <w:jc w:val="both"/>
                  </w:pPr>
                  <w:r>
                    <w:rPr>
                      <w:sz w:val="21"/>
                    </w:rPr>
                    <w:t>712C0042/IP</w:t>
                  </w:r>
                </w:p>
              </w:tc>
              <w:tc>
                <w:tcPr>
                  <w:tcW w:type="dxa" w:w="621"/>
                  <w:tcBorders>
                    <w:top w:val="none" w:color="000000" w:sz="4"/>
                    <w:left w:val="none" w:color="000000" w:sz="4"/>
                    <w:bottom w:val="single" w:color="000000" w:sz="4"/>
                    <w:right w:val="single" w:color="000000" w:sz="4"/>
                  </w:tcBorders>
                  <w:vAlign w:val="top"/>
                </w:tcPr>
                <w:p>
                  <w:pPr>
                    <w:jc w:val="both"/>
                  </w:pPr>
                  <w:r>
                    <w:rPr>
                      <w:sz w:val="21"/>
                    </w:rPr>
                    <w:t>0884-2914</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Materials Research.</w:t>
                  </w:r>
                </w:p>
              </w:tc>
              <w:tc>
                <w:tcPr>
                  <w:tcW w:type="dxa" w:w="489"/>
                  <w:tcBorders>
                    <w:top w:val="none" w:color="000000" w:sz="4"/>
                    <w:left w:val="none" w:color="000000" w:sz="4"/>
                    <w:bottom w:val="single" w:color="000000" w:sz="4"/>
                    <w:right w:val="single" w:color="000000" w:sz="4"/>
                  </w:tcBorders>
                  <w:vAlign w:val="top"/>
                </w:tcPr>
                <w:p>
                  <w:pPr>
                    <w:jc w:val="both"/>
                  </w:pPr>
                  <w:r>
                    <w:rPr>
                      <w:sz w:val="21"/>
                    </w:rPr>
                    <w:t>24</w:t>
                  </w:r>
                </w:p>
              </w:tc>
              <w:tc>
                <w:tcPr>
                  <w:tcW w:type="dxa" w:w="1773"/>
                  <w:tcBorders>
                    <w:top w:val="none" w:color="000000" w:sz="4"/>
                    <w:left w:val="none" w:color="000000" w:sz="4"/>
                    <w:bottom w:val="single" w:color="000000" w:sz="4"/>
                    <w:right w:val="single" w:color="000000" w:sz="4"/>
                  </w:tcBorders>
                  <w:vAlign w:val="top"/>
                </w:tcPr>
                <w:p>
                  <w:pPr>
                    <w:jc w:val="both"/>
                  </w:pPr>
                  <w:r>
                    <w:rPr>
                      <w:sz w:val="21"/>
                    </w:rPr>
                    <w:t>Cambridge University Press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26</w:t>
                  </w:r>
                </w:p>
              </w:tc>
              <w:tc>
                <w:tcPr>
                  <w:tcW w:type="dxa" w:w="661"/>
                  <w:tcBorders>
                    <w:top w:val="none" w:color="000000" w:sz="4"/>
                    <w:left w:val="none" w:color="000000" w:sz="4"/>
                    <w:bottom w:val="single" w:color="000000" w:sz="4"/>
                    <w:right w:val="single" w:color="000000" w:sz="4"/>
                  </w:tcBorders>
                  <w:vAlign w:val="top"/>
                </w:tcPr>
                <w:p>
                  <w:pPr>
                    <w:jc w:val="both"/>
                  </w:pPr>
                  <w:r>
                    <w:rPr>
                      <w:sz w:val="21"/>
                    </w:rPr>
                    <w:t>420D0137</w:t>
                  </w:r>
                </w:p>
              </w:tc>
              <w:tc>
                <w:tcPr>
                  <w:tcW w:type="dxa" w:w="621"/>
                  <w:tcBorders>
                    <w:top w:val="none" w:color="000000" w:sz="4"/>
                    <w:left w:val="none" w:color="000000" w:sz="4"/>
                    <w:bottom w:val="single" w:color="000000" w:sz="4"/>
                    <w:right w:val="single" w:color="000000" w:sz="4"/>
                  </w:tcBorders>
                  <w:vAlign w:val="top"/>
                </w:tcPr>
                <w:p>
                  <w:pPr>
                    <w:jc w:val="both"/>
                  </w:pPr>
                  <w:r>
                    <w:rPr>
                      <w:sz w:val="21"/>
                    </w:rPr>
                    <w:t>0914-224X</w:t>
                  </w:r>
                </w:p>
              </w:tc>
              <w:tc>
                <w:tcPr>
                  <w:tcW w:type="dxa" w:w="1707"/>
                  <w:tcBorders>
                    <w:top w:val="none" w:color="000000" w:sz="4"/>
                    <w:left w:val="none" w:color="000000" w:sz="4"/>
                    <w:bottom w:val="single" w:color="000000" w:sz="4"/>
                    <w:right w:val="single" w:color="000000" w:sz="4"/>
                  </w:tcBorders>
                  <w:vAlign w:val="top"/>
                </w:tcPr>
                <w:p>
                  <w:pPr>
                    <w:jc w:val="both"/>
                  </w:pPr>
                  <w:r>
                    <w:rPr>
                      <w:sz w:val="21"/>
                    </w:rPr>
                    <w:t>野草．</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中国文芸研究会</w:t>
                  </w:r>
                  <w:r>
                    <w:rPr>
                      <w:sz w:val="21"/>
                    </w:rPr>
                    <w:t>.</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27</w:t>
                  </w:r>
                </w:p>
              </w:tc>
              <w:tc>
                <w:tcPr>
                  <w:tcW w:type="dxa" w:w="661"/>
                  <w:tcBorders>
                    <w:top w:val="none" w:color="000000" w:sz="4"/>
                    <w:left w:val="none" w:color="000000" w:sz="4"/>
                    <w:bottom w:val="single" w:color="000000" w:sz="4"/>
                    <w:right w:val="single" w:color="000000" w:sz="4"/>
                  </w:tcBorders>
                  <w:vAlign w:val="top"/>
                </w:tcPr>
                <w:p>
                  <w:pPr>
                    <w:jc w:val="both"/>
                  </w:pPr>
                  <w:r>
                    <w:rPr>
                      <w:sz w:val="21"/>
                    </w:rPr>
                    <w:t>297C0129</w:t>
                  </w:r>
                </w:p>
              </w:tc>
              <w:tc>
                <w:tcPr>
                  <w:tcW w:type="dxa" w:w="621"/>
                  <w:tcBorders>
                    <w:top w:val="none" w:color="000000" w:sz="4"/>
                    <w:left w:val="none" w:color="000000" w:sz="4"/>
                    <w:bottom w:val="single" w:color="000000" w:sz="4"/>
                    <w:right w:val="single" w:color="000000" w:sz="4"/>
                  </w:tcBorders>
                  <w:vAlign w:val="top"/>
                </w:tcPr>
                <w:p>
                  <w:pPr>
                    <w:jc w:val="both"/>
                  </w:pPr>
                  <w:r>
                    <w:rPr>
                      <w:sz w:val="21"/>
                    </w:rPr>
                    <w:t>0951-3574</w:t>
                  </w:r>
                </w:p>
              </w:tc>
              <w:tc>
                <w:tcPr>
                  <w:tcW w:type="dxa" w:w="1707"/>
                  <w:tcBorders>
                    <w:top w:val="none" w:color="000000" w:sz="4"/>
                    <w:left w:val="none" w:color="000000" w:sz="4"/>
                    <w:bottom w:val="single" w:color="000000" w:sz="4"/>
                    <w:right w:val="single" w:color="000000" w:sz="4"/>
                  </w:tcBorders>
                  <w:vAlign w:val="top"/>
                </w:tcPr>
                <w:p>
                  <w:pPr>
                    <w:jc w:val="both"/>
                  </w:pPr>
                  <w:r>
                    <w:rPr>
                      <w:sz w:val="21"/>
                    </w:rPr>
                    <w:t>Accounting, Auditing &amp; Accountability Journal.</w:t>
                  </w:r>
                </w:p>
              </w:tc>
              <w:tc>
                <w:tcPr>
                  <w:tcW w:type="dxa" w:w="489"/>
                  <w:tcBorders>
                    <w:top w:val="none" w:color="000000" w:sz="4"/>
                    <w:left w:val="none" w:color="000000" w:sz="4"/>
                    <w:bottom w:val="single" w:color="000000" w:sz="4"/>
                    <w:right w:val="single" w:color="000000" w:sz="4"/>
                  </w:tcBorders>
                  <w:vAlign w:val="top"/>
                </w:tcPr>
                <w:p>
                  <w:pPr>
                    <w:jc w:val="both"/>
                  </w:pPr>
                  <w:r>
                    <w:rPr>
                      <w:sz w:val="21"/>
                    </w:rPr>
                    <w:t>8</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28</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714C0020</w:t>
                  </w:r>
                </w:p>
              </w:tc>
              <w:tc>
                <w:tcPr>
                  <w:tcW w:type="dxa" w:w="621"/>
                  <w:tcBorders>
                    <w:top w:val="none" w:color="000000" w:sz="4"/>
                    <w:left w:val="none" w:color="000000" w:sz="4"/>
                    <w:bottom w:val="single" w:color="000000" w:sz="4"/>
                    <w:right w:val="single" w:color="000000" w:sz="4"/>
                  </w:tcBorders>
                  <w:vAlign w:val="top"/>
                </w:tcPr>
                <w:p>
                  <w:pPr>
                    <w:jc w:val="both"/>
                  </w:pPr>
                  <w:r>
                    <w:rPr>
                      <w:sz w:val="21"/>
                    </w:rPr>
                    <w:t>0969-6474</w:t>
                  </w:r>
                </w:p>
              </w:tc>
              <w:tc>
                <w:tcPr>
                  <w:tcW w:type="dxa" w:w="1707"/>
                  <w:tcBorders>
                    <w:top w:val="none" w:color="000000" w:sz="4"/>
                    <w:left w:val="none" w:color="000000" w:sz="4"/>
                    <w:bottom w:val="single" w:color="000000" w:sz="4"/>
                    <w:right w:val="single" w:color="000000" w:sz="4"/>
                  </w:tcBorders>
                  <w:vAlign w:val="top"/>
                </w:tcPr>
                <w:p>
                  <w:pPr>
                    <w:jc w:val="both"/>
                  </w:pPr>
                  <w:r>
                    <w:rPr>
                      <w:sz w:val="21"/>
                    </w:rPr>
                    <w:t>The Learning Organization: The International Journal of Knowledge and Organizational Learning Management.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29</w:t>
                  </w:r>
                </w:p>
              </w:tc>
              <w:tc>
                <w:tcPr>
                  <w:tcW w:type="dxa" w:w="661"/>
                  <w:tcBorders>
                    <w:top w:val="none" w:color="000000" w:sz="4"/>
                    <w:left w:val="none" w:color="000000" w:sz="4"/>
                    <w:bottom w:val="single" w:color="000000" w:sz="4"/>
                    <w:right w:val="single" w:color="000000" w:sz="4"/>
                  </w:tcBorders>
                  <w:vAlign w:val="top"/>
                </w:tcPr>
                <w:p>
                  <w:pPr>
                    <w:jc w:val="both"/>
                  </w:pPr>
                  <w:r>
                    <w:rPr>
                      <w:sz w:val="21"/>
                    </w:rPr>
                    <w:t>519LB014</w:t>
                  </w:r>
                </w:p>
              </w:tc>
              <w:tc>
                <w:tcPr>
                  <w:tcW w:type="dxa" w:w="621"/>
                  <w:tcBorders>
                    <w:top w:val="none" w:color="000000" w:sz="4"/>
                    <w:left w:val="none" w:color="000000" w:sz="4"/>
                    <w:bottom w:val="single" w:color="000000" w:sz="4"/>
                    <w:right w:val="single" w:color="000000" w:sz="4"/>
                  </w:tcBorders>
                  <w:vAlign w:val="top"/>
                </w:tcPr>
                <w:p>
                  <w:pPr>
                    <w:jc w:val="both"/>
                  </w:pPr>
                  <w:r>
                    <w:rPr>
                      <w:sz w:val="21"/>
                    </w:rPr>
                    <w:t>1019-7168</w:t>
                  </w:r>
                </w:p>
              </w:tc>
              <w:tc>
                <w:tcPr>
                  <w:tcW w:type="dxa" w:w="1707"/>
                  <w:tcBorders>
                    <w:top w:val="none" w:color="000000" w:sz="4"/>
                    <w:left w:val="none" w:color="000000" w:sz="4"/>
                    <w:bottom w:val="single" w:color="000000" w:sz="4"/>
                    <w:right w:val="single" w:color="000000" w:sz="4"/>
                  </w:tcBorders>
                  <w:vAlign w:val="top"/>
                </w:tcPr>
                <w:p>
                  <w:pPr>
                    <w:jc w:val="both"/>
                  </w:pPr>
                  <w:r>
                    <w:rPr>
                      <w:sz w:val="21"/>
                    </w:rPr>
                    <w:t>Advances in Computational Mathematics.</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Springer.</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30</w:t>
                  </w:r>
                </w:p>
              </w:tc>
              <w:tc>
                <w:tcPr>
                  <w:tcW w:type="dxa" w:w="661"/>
                  <w:tcBorders>
                    <w:top w:val="none" w:color="000000" w:sz="4"/>
                    <w:left w:val="none" w:color="000000" w:sz="4"/>
                    <w:bottom w:val="single" w:color="000000" w:sz="4"/>
                    <w:right w:val="single" w:color="000000" w:sz="4"/>
                  </w:tcBorders>
                  <w:vAlign w:val="top"/>
                </w:tcPr>
                <w:p>
                  <w:pPr>
                    <w:jc w:val="both"/>
                  </w:pPr>
                  <w:r>
                    <w:rPr>
                      <w:sz w:val="21"/>
                    </w:rPr>
                    <w:t>862B0103</w:t>
                  </w:r>
                </w:p>
              </w:tc>
              <w:tc>
                <w:tcPr>
                  <w:tcW w:type="dxa" w:w="621"/>
                  <w:tcBorders>
                    <w:top w:val="none" w:color="000000" w:sz="4"/>
                    <w:left w:val="none" w:color="000000" w:sz="4"/>
                    <w:bottom w:val="single" w:color="000000" w:sz="4"/>
                    <w:right w:val="single" w:color="000000" w:sz="4"/>
                  </w:tcBorders>
                  <w:vAlign w:val="top"/>
                </w:tcPr>
                <w:p>
                  <w:pPr>
                    <w:jc w:val="both"/>
                  </w:pPr>
                  <w:r>
                    <w:rPr>
                      <w:sz w:val="21"/>
                    </w:rPr>
                    <w:t>1046-1957</w:t>
                  </w:r>
                </w:p>
              </w:tc>
              <w:tc>
                <w:tcPr>
                  <w:tcW w:type="dxa" w:w="1707"/>
                  <w:tcBorders>
                    <w:top w:val="none" w:color="000000" w:sz="4"/>
                    <w:left w:val="none" w:color="000000" w:sz="4"/>
                    <w:bottom w:val="single" w:color="000000" w:sz="4"/>
                    <w:right w:val="single" w:color="000000" w:sz="4"/>
                  </w:tcBorders>
                  <w:vAlign w:val="top"/>
                </w:tcPr>
                <w:p>
                  <w:pPr>
                    <w:jc w:val="both"/>
                  </w:pPr>
                  <w:r>
                    <w:rPr>
                      <w:sz w:val="21"/>
                    </w:rPr>
                    <w:t>Elle Decor. (American Edition)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10</w:t>
                  </w:r>
                </w:p>
              </w:tc>
              <w:tc>
                <w:tcPr>
                  <w:tcW w:type="dxa" w:w="1773"/>
                  <w:tcBorders>
                    <w:top w:val="none" w:color="000000" w:sz="4"/>
                    <w:left w:val="none" w:color="000000" w:sz="4"/>
                    <w:bottom w:val="single" w:color="000000" w:sz="4"/>
                    <w:right w:val="single" w:color="000000" w:sz="4"/>
                  </w:tcBorders>
                  <w:vAlign w:val="top"/>
                </w:tcPr>
                <w:p>
                  <w:pPr>
                    <w:jc w:val="both"/>
                  </w:pPr>
                  <w:r>
                    <w:rPr>
                      <w:sz w:val="21"/>
                    </w:rPr>
                    <w:t>Hachette Filipacchi Magazines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31</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480B0101</w:t>
                  </w:r>
                </w:p>
              </w:tc>
              <w:tc>
                <w:tcPr>
                  <w:tcW w:type="dxa" w:w="621"/>
                  <w:tcBorders>
                    <w:top w:val="none" w:color="000000" w:sz="4"/>
                    <w:left w:val="none" w:color="000000" w:sz="4"/>
                    <w:bottom w:val="single" w:color="000000" w:sz="4"/>
                    <w:right w:val="single" w:color="000000" w:sz="4"/>
                  </w:tcBorders>
                  <w:vAlign w:val="top"/>
                </w:tcPr>
                <w:p>
                  <w:pPr>
                    <w:jc w:val="both"/>
                  </w:pPr>
                  <w:r>
                    <w:rPr>
                      <w:sz w:val="21"/>
                    </w:rPr>
                    <w:t>1047-4994</w:t>
                  </w:r>
                </w:p>
              </w:tc>
              <w:tc>
                <w:tcPr>
                  <w:tcW w:type="dxa" w:w="1707"/>
                  <w:tcBorders>
                    <w:top w:val="none" w:color="000000" w:sz="4"/>
                    <w:left w:val="none" w:color="000000" w:sz="4"/>
                    <w:bottom w:val="single" w:color="000000" w:sz="4"/>
                    <w:right w:val="single" w:color="000000" w:sz="4"/>
                  </w:tcBorders>
                  <w:vAlign w:val="top"/>
                </w:tcPr>
                <w:p>
                  <w:pPr>
                    <w:jc w:val="both"/>
                  </w:pPr>
                  <w:r>
                    <w:rPr>
                      <w:sz w:val="21"/>
                    </w:rPr>
                    <w:t>Art of the West.</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Duerr and Tierney Ltd..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32</w:t>
                  </w:r>
                </w:p>
              </w:tc>
              <w:tc>
                <w:tcPr>
                  <w:tcW w:type="dxa" w:w="661"/>
                  <w:tcBorders>
                    <w:top w:val="none" w:color="000000" w:sz="4"/>
                    <w:left w:val="none" w:color="000000" w:sz="4"/>
                    <w:bottom w:val="single" w:color="000000" w:sz="4"/>
                    <w:right w:val="single" w:color="000000" w:sz="4"/>
                  </w:tcBorders>
                  <w:vAlign w:val="top"/>
                </w:tcPr>
                <w:p>
                  <w:pPr>
                    <w:jc w:val="both"/>
                  </w:pPr>
                  <w:r>
                    <w:rPr>
                      <w:sz w:val="21"/>
                    </w:rPr>
                    <w:t>513B0080</w:t>
                  </w:r>
                </w:p>
              </w:tc>
              <w:tc>
                <w:tcPr>
                  <w:tcW w:type="dxa" w:w="621"/>
                  <w:tcBorders>
                    <w:top w:val="none" w:color="000000" w:sz="4"/>
                    <w:left w:val="none" w:color="000000" w:sz="4"/>
                    <w:bottom w:val="single" w:color="000000" w:sz="4"/>
                    <w:right w:val="single" w:color="000000" w:sz="4"/>
                  </w:tcBorders>
                  <w:vAlign w:val="top"/>
                </w:tcPr>
                <w:p>
                  <w:pPr>
                    <w:jc w:val="both"/>
                  </w:pPr>
                  <w:r>
                    <w:rPr>
                      <w:sz w:val="21"/>
                    </w:rPr>
                    <w:t>1050-6926</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Geometric Analysis.</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Springer.</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33</w:t>
                  </w:r>
                </w:p>
              </w:tc>
              <w:tc>
                <w:tcPr>
                  <w:tcW w:type="dxa" w:w="661"/>
                  <w:tcBorders>
                    <w:top w:val="none" w:color="000000" w:sz="4"/>
                    <w:left w:val="none" w:color="000000" w:sz="4"/>
                    <w:bottom w:val="single" w:color="000000" w:sz="4"/>
                    <w:right w:val="single" w:color="000000" w:sz="4"/>
                  </w:tcBorders>
                  <w:vAlign w:val="top"/>
                </w:tcPr>
                <w:p>
                  <w:pPr>
                    <w:jc w:val="both"/>
                  </w:pPr>
                  <w:r>
                    <w:rPr>
                      <w:sz w:val="21"/>
                    </w:rPr>
                    <w:t>300B0005</w:t>
                  </w:r>
                </w:p>
              </w:tc>
              <w:tc>
                <w:tcPr>
                  <w:tcW w:type="dxa" w:w="621"/>
                  <w:tcBorders>
                    <w:top w:val="none" w:color="000000" w:sz="4"/>
                    <w:left w:val="none" w:color="000000" w:sz="4"/>
                    <w:bottom w:val="single" w:color="000000" w:sz="4"/>
                    <w:right w:val="single" w:color="000000" w:sz="4"/>
                  </w:tcBorders>
                  <w:vAlign w:val="top"/>
                </w:tcPr>
                <w:p>
                  <w:pPr>
                    <w:jc w:val="both"/>
                  </w:pPr>
                  <w:r>
                    <w:rPr>
                      <w:sz w:val="21"/>
                    </w:rPr>
                    <w:t>1064-0304</w:t>
                  </w:r>
                </w:p>
              </w:tc>
              <w:tc>
                <w:tcPr>
                  <w:tcW w:type="dxa" w:w="1707"/>
                  <w:tcBorders>
                    <w:top w:val="none" w:color="000000" w:sz="4"/>
                    <w:left w:val="none" w:color="000000" w:sz="4"/>
                    <w:bottom w:val="single" w:color="000000" w:sz="4"/>
                    <w:right w:val="single" w:color="000000" w:sz="4"/>
                  </w:tcBorders>
                  <w:vAlign w:val="top"/>
                </w:tcPr>
                <w:p>
                  <w:pPr>
                    <w:jc w:val="both"/>
                  </w:pPr>
                  <w:r>
                    <w:rPr>
                      <w:sz w:val="21"/>
                    </w:rPr>
                    <w:t>Time. (Asia Ed.)</w:t>
                  </w:r>
                </w:p>
              </w:tc>
              <w:tc>
                <w:tcPr>
                  <w:tcW w:type="dxa" w:w="489"/>
                  <w:tcBorders>
                    <w:top w:val="none" w:color="000000" w:sz="4"/>
                    <w:left w:val="none" w:color="000000" w:sz="4"/>
                    <w:bottom w:val="single" w:color="000000" w:sz="4"/>
                    <w:right w:val="single" w:color="000000" w:sz="4"/>
                  </w:tcBorders>
                  <w:vAlign w:val="top"/>
                </w:tcPr>
                <w:p>
                  <w:pPr>
                    <w:jc w:val="both"/>
                  </w:pPr>
                  <w:r>
                    <w:rPr>
                      <w:sz w:val="21"/>
                    </w:rPr>
                    <w:t>51</w:t>
                  </w:r>
                </w:p>
              </w:tc>
              <w:tc>
                <w:tcPr>
                  <w:tcW w:type="dxa" w:w="1773"/>
                  <w:tcBorders>
                    <w:top w:val="none" w:color="000000" w:sz="4"/>
                    <w:left w:val="none" w:color="000000" w:sz="4"/>
                    <w:bottom w:val="single" w:color="000000" w:sz="4"/>
                    <w:right w:val="single" w:color="000000" w:sz="4"/>
                  </w:tcBorders>
                  <w:vAlign w:val="top"/>
                </w:tcPr>
                <w:p>
                  <w:pPr>
                    <w:jc w:val="both"/>
                  </w:pPr>
                  <w:r>
                    <w:rPr>
                      <w:sz w:val="21"/>
                    </w:rPr>
                    <w:t>Time Asia (Hong Kong)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34</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294B0072</w:t>
                  </w:r>
                </w:p>
              </w:tc>
              <w:tc>
                <w:tcPr>
                  <w:tcW w:type="dxa" w:w="621"/>
                  <w:tcBorders>
                    <w:top w:val="none" w:color="000000" w:sz="4"/>
                    <w:left w:val="none" w:color="000000" w:sz="4"/>
                    <w:bottom w:val="single" w:color="000000" w:sz="4"/>
                    <w:right w:val="single" w:color="000000" w:sz="4"/>
                  </w:tcBorders>
                  <w:vAlign w:val="top"/>
                </w:tcPr>
                <w:p>
                  <w:pPr>
                    <w:jc w:val="both"/>
                  </w:pPr>
                  <w:r>
                    <w:rPr>
                      <w:sz w:val="21"/>
                    </w:rPr>
                    <w:t>0745-4295</w:t>
                  </w:r>
                </w:p>
              </w:tc>
              <w:tc>
                <w:tcPr>
                  <w:tcW w:type="dxa" w:w="1707"/>
                  <w:tcBorders>
                    <w:top w:val="none" w:color="000000" w:sz="4"/>
                    <w:left w:val="none" w:color="000000" w:sz="4"/>
                    <w:bottom w:val="single" w:color="000000" w:sz="4"/>
                    <w:right w:val="single" w:color="000000" w:sz="4"/>
                  </w:tcBorders>
                  <w:vAlign w:val="top"/>
                </w:tcPr>
                <w:p>
                  <w:pPr>
                    <w:jc w:val="both"/>
                  </w:pPr>
                  <w:r>
                    <w:rPr>
                      <w:sz w:val="21"/>
                    </w:rPr>
                    <w:t>Visual Merchandising &amp; Store Design.</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ST Publications Inc..</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35</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714C0376</w:t>
                  </w:r>
                </w:p>
              </w:tc>
              <w:tc>
                <w:tcPr>
                  <w:tcW w:type="dxa" w:w="621"/>
                  <w:tcBorders>
                    <w:top w:val="none" w:color="000000" w:sz="4"/>
                    <w:left w:val="none" w:color="000000" w:sz="4"/>
                    <w:bottom w:val="single" w:color="000000" w:sz="4"/>
                    <w:right w:val="single" w:color="000000" w:sz="4"/>
                  </w:tcBorders>
                  <w:vAlign w:val="top"/>
                </w:tcPr>
                <w:p>
                  <w:pPr>
                    <w:jc w:val="both"/>
                  </w:pPr>
                  <w:r>
                    <w:rPr>
                      <w:sz w:val="21"/>
                    </w:rPr>
                    <w:t>1087-8572</w:t>
                  </w:r>
                </w:p>
              </w:tc>
              <w:tc>
                <w:tcPr>
                  <w:tcW w:type="dxa" w:w="1707"/>
                  <w:tcBorders>
                    <w:top w:val="none" w:color="000000" w:sz="4"/>
                    <w:left w:val="none" w:color="000000" w:sz="4"/>
                    <w:bottom w:val="single" w:color="000000" w:sz="4"/>
                    <w:right w:val="single" w:color="000000" w:sz="4"/>
                  </w:tcBorders>
                  <w:vAlign w:val="top"/>
                </w:tcPr>
                <w:p>
                  <w:pPr>
                    <w:jc w:val="both"/>
                  </w:pPr>
                  <w:r>
                    <w:rPr>
                      <w:sz w:val="21"/>
                    </w:rPr>
                    <w:t>Strategy &amp; Leadership.</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36</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714C0018</w:t>
                  </w:r>
                </w:p>
              </w:tc>
              <w:tc>
                <w:tcPr>
                  <w:tcW w:type="dxa" w:w="621"/>
                  <w:tcBorders>
                    <w:top w:val="none" w:color="000000" w:sz="4"/>
                    <w:left w:val="none" w:color="000000" w:sz="4"/>
                    <w:bottom w:val="single" w:color="000000" w:sz="4"/>
                    <w:right w:val="single" w:color="000000" w:sz="4"/>
                  </w:tcBorders>
                  <w:vAlign w:val="top"/>
                </w:tcPr>
                <w:p>
                  <w:pPr>
                    <w:jc w:val="both"/>
                  </w:pPr>
                  <w:r>
                    <w:rPr>
                      <w:sz w:val="21"/>
                    </w:rPr>
                    <w:t>1352-7592</w:t>
                  </w:r>
                </w:p>
              </w:tc>
              <w:tc>
                <w:tcPr>
                  <w:tcW w:type="dxa" w:w="1707"/>
                  <w:tcBorders>
                    <w:top w:val="none" w:color="000000" w:sz="4"/>
                    <w:left w:val="none" w:color="000000" w:sz="4"/>
                    <w:bottom w:val="single" w:color="000000" w:sz="4"/>
                    <w:right w:val="single" w:color="000000" w:sz="4"/>
                  </w:tcBorders>
                  <w:vAlign w:val="top"/>
                </w:tcPr>
                <w:p>
                  <w:pPr>
                    <w:jc w:val="both"/>
                  </w:pPr>
                  <w:r>
                    <w:rPr>
                      <w:sz w:val="21"/>
                    </w:rPr>
                    <w:t>Team Performance Management.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8</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37</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714C0014</w:t>
                  </w:r>
                </w:p>
              </w:tc>
              <w:tc>
                <w:tcPr>
                  <w:tcW w:type="dxa" w:w="621"/>
                  <w:tcBorders>
                    <w:top w:val="none" w:color="000000" w:sz="4"/>
                    <w:left w:val="none" w:color="000000" w:sz="4"/>
                    <w:bottom w:val="single" w:color="000000" w:sz="4"/>
                    <w:right w:val="single" w:color="000000" w:sz="4"/>
                  </w:tcBorders>
                  <w:vAlign w:val="top"/>
                </w:tcPr>
                <w:p>
                  <w:pPr>
                    <w:jc w:val="both"/>
                  </w:pPr>
                  <w:r>
                    <w:rPr>
                      <w:sz w:val="21"/>
                    </w:rPr>
                    <w:t>1355-2554</w:t>
                  </w:r>
                </w:p>
              </w:tc>
              <w:tc>
                <w:tcPr>
                  <w:tcW w:type="dxa" w:w="1707"/>
                  <w:tcBorders>
                    <w:top w:val="none" w:color="000000" w:sz="4"/>
                    <w:left w:val="none" w:color="000000" w:sz="4"/>
                    <w:bottom w:val="single" w:color="000000" w:sz="4"/>
                    <w:right w:val="single" w:color="000000" w:sz="4"/>
                  </w:tcBorders>
                  <w:vAlign w:val="top"/>
                </w:tcPr>
                <w:p>
                  <w:pPr>
                    <w:jc w:val="both"/>
                  </w:pPr>
                  <w:r>
                    <w:rPr>
                      <w:sz w:val="21"/>
                    </w:rPr>
                    <w:t>International Journal of Entrepreneurial Behavior and Research</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38</w:t>
                  </w:r>
                </w:p>
              </w:tc>
              <w:tc>
                <w:tcPr>
                  <w:tcW w:type="dxa" w:w="661"/>
                  <w:tcBorders>
                    <w:top w:val="none" w:color="000000" w:sz="4"/>
                    <w:left w:val="none" w:color="000000" w:sz="4"/>
                    <w:bottom w:val="single" w:color="000000" w:sz="4"/>
                    <w:right w:val="single" w:color="000000" w:sz="4"/>
                  </w:tcBorders>
                  <w:vAlign w:val="top"/>
                </w:tcPr>
                <w:p>
                  <w:pPr>
                    <w:jc w:val="both"/>
                  </w:pPr>
                  <w:r>
                    <w:rPr>
                      <w:sz w:val="21"/>
                    </w:rPr>
                    <w:t>736C0116</w:t>
                  </w:r>
                </w:p>
              </w:tc>
              <w:tc>
                <w:tcPr>
                  <w:tcW w:type="dxa" w:w="621"/>
                  <w:tcBorders>
                    <w:top w:val="none" w:color="000000" w:sz="4"/>
                    <w:left w:val="none" w:color="000000" w:sz="4"/>
                    <w:bottom w:val="single" w:color="000000" w:sz="4"/>
                    <w:right w:val="single" w:color="000000" w:sz="4"/>
                  </w:tcBorders>
                  <w:vAlign w:val="top"/>
                </w:tcPr>
                <w:p>
                  <w:pPr>
                    <w:jc w:val="both"/>
                  </w:pPr>
                  <w:r>
                    <w:rPr>
                      <w:sz w:val="21"/>
                    </w:rPr>
                    <w:t>1356-5362</w:t>
                  </w:r>
                </w:p>
              </w:tc>
              <w:tc>
                <w:tcPr>
                  <w:tcW w:type="dxa" w:w="1707"/>
                  <w:tcBorders>
                    <w:top w:val="none" w:color="000000" w:sz="4"/>
                    <w:left w:val="none" w:color="000000" w:sz="4"/>
                    <w:bottom w:val="single" w:color="000000" w:sz="4"/>
                    <w:right w:val="single" w:color="000000" w:sz="4"/>
                  </w:tcBorders>
                  <w:vAlign w:val="top"/>
                </w:tcPr>
                <w:p>
                  <w:pPr>
                    <w:jc w:val="both"/>
                  </w:pPr>
                  <w:r>
                    <w:rPr>
                      <w:sz w:val="21"/>
                    </w:rPr>
                    <w:t>Microelectronics International.</w:t>
                  </w:r>
                </w:p>
              </w:tc>
              <w:tc>
                <w:tcPr>
                  <w:tcW w:type="dxa" w:w="489"/>
                  <w:tcBorders>
                    <w:top w:val="none" w:color="000000" w:sz="4"/>
                    <w:left w:val="none" w:color="000000" w:sz="4"/>
                    <w:bottom w:val="single" w:color="000000" w:sz="4"/>
                    <w:right w:val="single" w:color="000000" w:sz="4"/>
                  </w:tcBorders>
                  <w:vAlign w:val="top"/>
                </w:tcPr>
                <w:p>
                  <w:pPr>
                    <w:jc w:val="both"/>
                  </w:pPr>
                  <w:r>
                    <w:rPr>
                      <w:sz w:val="21"/>
                    </w:rPr>
                    <w:t>4</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39</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714C0016</w:t>
                  </w:r>
                </w:p>
              </w:tc>
              <w:tc>
                <w:tcPr>
                  <w:tcW w:type="dxa" w:w="621"/>
                  <w:tcBorders>
                    <w:top w:val="none" w:color="000000" w:sz="4"/>
                    <w:left w:val="none" w:color="000000" w:sz="4"/>
                    <w:bottom w:val="single" w:color="000000" w:sz="4"/>
                    <w:right w:val="single" w:color="000000" w:sz="4"/>
                  </w:tcBorders>
                  <w:vAlign w:val="top"/>
                </w:tcPr>
                <w:p>
                  <w:pPr>
                    <w:jc w:val="both"/>
                  </w:pPr>
                  <w:r>
                    <w:rPr>
                      <w:sz w:val="21"/>
                    </w:rPr>
                    <w:t>1367-3270</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Knowledge Management.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10</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40</w:t>
                  </w:r>
                </w:p>
              </w:tc>
              <w:tc>
                <w:tcPr>
                  <w:tcW w:type="dxa" w:w="661"/>
                  <w:tcBorders>
                    <w:top w:val="none" w:color="000000" w:sz="4"/>
                    <w:left w:val="none" w:color="000000" w:sz="4"/>
                    <w:bottom w:val="single" w:color="000000" w:sz="4"/>
                    <w:right w:val="single" w:color="000000" w:sz="4"/>
                  </w:tcBorders>
                  <w:vAlign w:val="top"/>
                </w:tcPr>
                <w:p>
                  <w:pPr>
                    <w:jc w:val="both"/>
                  </w:pPr>
                  <w:r>
                    <w:rPr>
                      <w:sz w:val="21"/>
                    </w:rPr>
                    <w:t>294C0037</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1462-6004</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Small Business and Enterprise Development.</w:t>
                  </w:r>
                </w:p>
              </w:tc>
              <w:tc>
                <w:tcPr>
                  <w:tcW w:type="dxa" w:w="489"/>
                  <w:tcBorders>
                    <w:top w:val="none" w:color="000000" w:sz="4"/>
                    <w:left w:val="none" w:color="000000" w:sz="4"/>
                    <w:bottom w:val="single" w:color="000000" w:sz="4"/>
                    <w:right w:val="single" w:color="000000" w:sz="4"/>
                  </w:tcBorders>
                  <w:vAlign w:val="top"/>
                </w:tcPr>
                <w:p>
                  <w:pPr>
                    <w:jc w:val="both"/>
                  </w:pPr>
                  <w:r>
                    <w:rPr>
                      <w:sz w:val="21"/>
                    </w:rPr>
                    <w:t>7</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41</w:t>
                  </w:r>
                </w:p>
              </w:tc>
              <w:tc>
                <w:tcPr>
                  <w:tcW w:type="dxa" w:w="661"/>
                  <w:tcBorders>
                    <w:top w:val="none" w:color="000000" w:sz="4"/>
                    <w:left w:val="none" w:color="000000" w:sz="4"/>
                    <w:bottom w:val="single" w:color="000000" w:sz="4"/>
                    <w:right w:val="single" w:color="000000" w:sz="4"/>
                  </w:tcBorders>
                  <w:vAlign w:val="top"/>
                </w:tcPr>
                <w:p>
                  <w:pPr>
                    <w:jc w:val="both"/>
                  </w:pPr>
                  <w:r>
                    <w:rPr>
                      <w:sz w:val="21"/>
                    </w:rPr>
                    <w:t>297C0161</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1463-578X</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Property Investment and Finance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42</w:t>
                  </w:r>
                </w:p>
              </w:tc>
              <w:tc>
                <w:tcPr>
                  <w:tcW w:type="dxa" w:w="661"/>
                  <w:tcBorders>
                    <w:top w:val="none" w:color="000000" w:sz="4"/>
                    <w:left w:val="none" w:color="000000" w:sz="4"/>
                    <w:bottom w:val="single" w:color="000000" w:sz="4"/>
                    <w:right w:val="single" w:color="000000" w:sz="4"/>
                  </w:tcBorders>
                  <w:vAlign w:val="top"/>
                </w:tcPr>
                <w:p>
                  <w:pPr>
                    <w:jc w:val="both"/>
                  </w:pPr>
                  <w:r>
                    <w:rPr>
                      <w:sz w:val="21"/>
                    </w:rPr>
                    <w:t>480B0219</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1465-4253</w:t>
                  </w:r>
                </w:p>
              </w:tc>
              <w:tc>
                <w:tcPr>
                  <w:tcW w:type="dxa" w:w="1707"/>
                  <w:tcBorders>
                    <w:top w:val="none" w:color="000000" w:sz="4"/>
                    <w:left w:val="none" w:color="000000" w:sz="4"/>
                    <w:bottom w:val="single" w:color="000000" w:sz="4"/>
                    <w:right w:val="single" w:color="000000" w:sz="4"/>
                  </w:tcBorders>
                  <w:vAlign w:val="top"/>
                </w:tcPr>
                <w:p>
                  <w:pPr>
                    <w:jc w:val="both"/>
                  </w:pPr>
                  <w:r>
                    <w:rPr>
                      <w:sz w:val="21"/>
                    </w:rPr>
                    <w:t>Afterall.</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University of Chicago Press.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43</w:t>
                  </w:r>
                </w:p>
              </w:tc>
              <w:tc>
                <w:tcPr>
                  <w:tcW w:type="dxa" w:w="661"/>
                  <w:tcBorders>
                    <w:top w:val="none" w:color="000000" w:sz="4"/>
                    <w:left w:val="none" w:color="000000" w:sz="4"/>
                    <w:bottom w:val="single" w:color="000000" w:sz="4"/>
                    <w:right w:val="single" w:color="000000" w:sz="4"/>
                  </w:tcBorders>
                  <w:vAlign w:val="top"/>
                </w:tcPr>
                <w:p>
                  <w:pPr>
                    <w:jc w:val="both"/>
                  </w:pPr>
                  <w:r>
                    <w:rPr>
                      <w:sz w:val="21"/>
                    </w:rPr>
                    <w:t>714C0015</w:t>
                  </w:r>
                </w:p>
              </w:tc>
              <w:tc>
                <w:tcPr>
                  <w:tcW w:type="dxa" w:w="621"/>
                  <w:tcBorders>
                    <w:top w:val="none" w:color="000000" w:sz="4"/>
                    <w:left w:val="none" w:color="000000" w:sz="4"/>
                    <w:bottom w:val="single" w:color="000000" w:sz="4"/>
                    <w:right w:val="single" w:color="000000" w:sz="4"/>
                  </w:tcBorders>
                  <w:vAlign w:val="top"/>
                </w:tcPr>
                <w:p>
                  <w:pPr>
                    <w:jc w:val="both"/>
                  </w:pPr>
                  <w:r>
                    <w:rPr>
                      <w:sz w:val="21"/>
                    </w:rPr>
                    <w:t>1469-1930</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Intellectual Capital.</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44</w:t>
                  </w:r>
                </w:p>
              </w:tc>
              <w:tc>
                <w:tcPr>
                  <w:tcW w:type="dxa" w:w="661"/>
                  <w:tcBorders>
                    <w:top w:val="none" w:color="000000" w:sz="4"/>
                    <w:left w:val="none" w:color="000000" w:sz="4"/>
                    <w:bottom w:val="single" w:color="000000" w:sz="4"/>
                    <w:right w:val="single" w:color="000000" w:sz="4"/>
                  </w:tcBorders>
                  <w:vAlign w:val="top"/>
                </w:tcPr>
                <w:p>
                  <w:pPr>
                    <w:jc w:val="both"/>
                  </w:pPr>
                  <w:r>
                    <w:rPr>
                      <w:sz w:val="21"/>
                    </w:rPr>
                    <w:t>297C0520</w:t>
                  </w:r>
                </w:p>
              </w:tc>
              <w:tc>
                <w:tcPr>
                  <w:tcW w:type="dxa" w:w="621"/>
                  <w:tcBorders>
                    <w:top w:val="none" w:color="000000" w:sz="4"/>
                    <w:left w:val="none" w:color="000000" w:sz="4"/>
                    <w:bottom w:val="single" w:color="000000" w:sz="4"/>
                    <w:right w:val="single" w:color="000000" w:sz="4"/>
                  </w:tcBorders>
                  <w:vAlign w:val="top"/>
                </w:tcPr>
                <w:p>
                  <w:pPr>
                    <w:jc w:val="both"/>
                  </w:pPr>
                  <w:r>
                    <w:rPr>
                      <w:sz w:val="21"/>
                    </w:rPr>
                    <w:t>1526-5943</w:t>
                  </w:r>
                </w:p>
              </w:tc>
              <w:tc>
                <w:tcPr>
                  <w:tcW w:type="dxa" w:w="1707"/>
                  <w:tcBorders>
                    <w:top w:val="none" w:color="000000" w:sz="4"/>
                    <w:left w:val="none" w:color="000000" w:sz="4"/>
                    <w:bottom w:val="single" w:color="000000" w:sz="4"/>
                    <w:right w:val="single" w:color="000000" w:sz="4"/>
                  </w:tcBorders>
                  <w:vAlign w:val="top"/>
                </w:tcPr>
                <w:p>
                  <w:pPr>
                    <w:jc w:val="both"/>
                  </w:pPr>
                  <w:r>
                    <w:rPr>
                      <w:sz w:val="21"/>
                    </w:rPr>
                    <w:t>The Journal of Risk Finance.</w:t>
                  </w:r>
                </w:p>
              </w:tc>
              <w:tc>
                <w:tcPr>
                  <w:tcW w:type="dxa" w:w="489"/>
                  <w:tcBorders>
                    <w:top w:val="none" w:color="000000" w:sz="4"/>
                    <w:left w:val="none" w:color="000000" w:sz="4"/>
                    <w:bottom w:val="single" w:color="000000" w:sz="4"/>
                    <w:right w:val="single" w:color="000000" w:sz="4"/>
                  </w:tcBorders>
                  <w:vAlign w:val="top"/>
                </w:tcPr>
                <w:p>
                  <w:pPr>
                    <w:jc w:val="both"/>
                  </w:pPr>
                  <w:r>
                    <w:rPr>
                      <w:sz w:val="21"/>
                    </w:rPr>
                    <w:t>5</w:t>
                  </w:r>
                </w:p>
              </w:tc>
              <w:tc>
                <w:tcPr>
                  <w:tcW w:type="dxa" w:w="1773"/>
                  <w:tcBorders>
                    <w:top w:val="none" w:color="000000" w:sz="4"/>
                    <w:left w:val="none" w:color="000000" w:sz="4"/>
                    <w:bottom w:val="single" w:color="000000" w:sz="4"/>
                    <w:right w:val="single" w:color="000000" w:sz="4"/>
                  </w:tcBorders>
                  <w:vAlign w:val="top"/>
                </w:tcPr>
                <w:p>
                  <w:pPr>
                    <w:jc w:val="both"/>
                  </w:pPr>
                  <w:r>
                    <w:rPr>
                      <w:sz w:val="21"/>
                    </w:rPr>
                    <w:t>Emerald Publishing Limited.</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45</w:t>
                  </w:r>
                </w:p>
              </w:tc>
              <w:tc>
                <w:tcPr>
                  <w:tcW w:type="dxa" w:w="661"/>
                  <w:tcBorders>
                    <w:top w:val="none" w:color="000000" w:sz="4"/>
                    <w:left w:val="none" w:color="000000" w:sz="4"/>
                    <w:bottom w:val="single" w:color="000000" w:sz="4"/>
                    <w:right w:val="single" w:color="000000" w:sz="4"/>
                  </w:tcBorders>
                  <w:vAlign w:val="top"/>
                </w:tcPr>
                <w:p>
                  <w:pPr>
                    <w:jc w:val="both"/>
                  </w:pPr>
                  <w:r>
                    <w:rPr>
                      <w:sz w:val="21"/>
                    </w:rPr>
                    <w:t>380B0323</w:t>
                  </w:r>
                </w:p>
              </w:tc>
              <w:tc>
                <w:tcPr>
                  <w:tcW w:type="dxa" w:w="621"/>
                  <w:tcBorders>
                    <w:top w:val="none" w:color="000000" w:sz="4"/>
                    <w:left w:val="none" w:color="000000" w:sz="4"/>
                    <w:bottom w:val="single" w:color="000000" w:sz="4"/>
                    <w:right w:val="single" w:color="000000" w:sz="4"/>
                  </w:tcBorders>
                  <w:vAlign w:val="top"/>
                </w:tcPr>
                <w:p>
                  <w:pPr>
                    <w:jc w:val="both"/>
                  </w:pPr>
                  <w:r>
                    <w:rPr>
                      <w:sz w:val="21"/>
                    </w:rPr>
                    <w:t>1534-8458</w:t>
                  </w:r>
                </w:p>
              </w:tc>
              <w:tc>
                <w:tcPr>
                  <w:tcW w:type="dxa" w:w="1707"/>
                  <w:tcBorders>
                    <w:top w:val="none" w:color="000000" w:sz="4"/>
                    <w:left w:val="none" w:color="000000" w:sz="4"/>
                    <w:bottom w:val="single" w:color="000000" w:sz="4"/>
                    <w:right w:val="single" w:color="000000" w:sz="4"/>
                  </w:tcBorders>
                  <w:vAlign w:val="top"/>
                </w:tcPr>
                <w:p>
                  <w:pPr>
                    <w:jc w:val="both"/>
                  </w:pPr>
                  <w:r>
                    <w:rPr>
                      <w:sz w:val="21"/>
                    </w:rPr>
                    <w:t>Journal of Language, Identity, and Education.</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Taylor &amp; Francis Group - US.</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46</w:t>
                  </w:r>
                </w:p>
              </w:tc>
              <w:tc>
                <w:tcPr>
                  <w:tcW w:type="dxa" w:w="661"/>
                  <w:tcBorders>
                    <w:top w:val="none" w:color="000000" w:sz="4"/>
                    <w:left w:val="none" w:color="000000" w:sz="4"/>
                    <w:bottom w:val="single" w:color="000000" w:sz="4"/>
                    <w:right w:val="single" w:color="000000" w:sz="4"/>
                  </w:tcBorders>
                  <w:vAlign w:val="top"/>
                </w:tcPr>
                <w:p>
                  <w:pPr>
                    <w:jc w:val="both"/>
                  </w:pPr>
                  <w:r>
                    <w:rPr>
                      <w:sz w:val="21"/>
                    </w:rPr>
                    <w:t>710B0397/IP</w:t>
                  </w:r>
                </w:p>
              </w:tc>
              <w:tc>
                <w:tcPr>
                  <w:tcW w:type="dxa" w:w="621"/>
                  <w:tcBorders>
                    <w:top w:val="none" w:color="000000" w:sz="4"/>
                    <w:left w:val="none" w:color="000000" w:sz="4"/>
                    <w:bottom w:val="single" w:color="000000" w:sz="4"/>
                    <w:right w:val="single" w:color="000000" w:sz="4"/>
                  </w:tcBorders>
                  <w:vAlign w:val="top"/>
                </w:tcPr>
                <w:p>
                  <w:pPr>
                    <w:jc w:val="both"/>
                  </w:pPr>
                  <w:r>
                    <w:rPr>
                      <w:sz w:val="21"/>
                    </w:rPr>
                    <w:t>2641-0923</w:t>
                  </w:r>
                </w:p>
              </w:tc>
              <w:tc>
                <w:tcPr>
                  <w:tcW w:type="dxa" w:w="1707"/>
                  <w:tcBorders>
                    <w:top w:val="none" w:color="000000" w:sz="4"/>
                    <w:left w:val="none" w:color="000000" w:sz="4"/>
                    <w:bottom w:val="single" w:color="000000" w:sz="4"/>
                    <w:right w:val="single" w:color="000000" w:sz="4"/>
                  </w:tcBorders>
                  <w:vAlign w:val="top"/>
                </w:tcPr>
                <w:p>
                  <w:pPr>
                    <w:jc w:val="both"/>
                  </w:pPr>
                  <w:r>
                    <w:rPr>
                      <w:sz w:val="21"/>
                    </w:rPr>
                    <w:t>International Journal of Quality Control and Standards in Science and Engineering.</w:t>
                  </w:r>
                </w:p>
              </w:tc>
              <w:tc>
                <w:tcPr>
                  <w:tcW w:type="dxa" w:w="489"/>
                  <w:tcBorders>
                    <w:top w:val="none" w:color="000000" w:sz="4"/>
                    <w:left w:val="none" w:color="000000" w:sz="4"/>
                    <w:bottom w:val="single" w:color="000000" w:sz="4"/>
                    <w:right w:val="single" w:color="000000" w:sz="4"/>
                  </w:tcBorders>
                  <w:vAlign w:val="top"/>
                </w:tcPr>
                <w:p>
                  <w:pPr>
                    <w:jc w:val="both"/>
                  </w:pPr>
                  <w:r>
                    <w:rPr>
                      <w:sz w:val="21"/>
                    </w:rPr>
                    <w:t>2</w:t>
                  </w:r>
                </w:p>
              </w:tc>
              <w:tc>
                <w:tcPr>
                  <w:tcW w:type="dxa" w:w="1773"/>
                  <w:tcBorders>
                    <w:top w:val="none" w:color="000000" w:sz="4"/>
                    <w:left w:val="none" w:color="000000" w:sz="4"/>
                    <w:bottom w:val="single" w:color="000000" w:sz="4"/>
                    <w:right w:val="single" w:color="000000" w:sz="4"/>
                  </w:tcBorders>
                  <w:vAlign w:val="top"/>
                </w:tcPr>
                <w:p>
                  <w:pPr>
                    <w:jc w:val="both"/>
                  </w:pPr>
                  <w:r>
                    <w:rPr>
                      <w:sz w:val="21"/>
                    </w:rPr>
                    <w:t>IGI Global</w:t>
                  </w:r>
                </w:p>
              </w:tc>
            </w:tr>
            <w:tr>
              <w:tc>
                <w:tcPr>
                  <w:tcW w:type="dxa" w:w="304"/>
                  <w:tcBorders>
                    <w:top w:val="none" w:color="000000" w:sz="4"/>
                    <w:left w:val="single" w:color="000000" w:sz="4"/>
                    <w:bottom w:val="single" w:color="000000" w:sz="4"/>
                    <w:right w:val="single" w:color="000000" w:sz="4"/>
                  </w:tcBorders>
                  <w:vAlign w:val="top"/>
                </w:tcPr>
                <w:p>
                  <w:pPr>
                    <w:jc w:val="both"/>
                  </w:pPr>
                  <w:r>
                    <w:rPr>
                      <w:sz w:val="21"/>
                    </w:rPr>
                    <w:t>47</w:t>
                  </w:r>
                </w:p>
              </w:tc>
              <w:tc>
                <w:tcPr>
                  <w:tcW w:type="dxa" w:w="661"/>
                  <w:tcBorders>
                    <w:top w:val="none" w:color="000000" w:sz="4"/>
                    <w:left w:val="none" w:color="000000" w:sz="4"/>
                    <w:bottom w:val="single" w:color="000000" w:sz="4"/>
                    <w:right w:val="single" w:color="000000" w:sz="4"/>
                  </w:tcBorders>
                  <w:vAlign w:val="top"/>
                </w:tcPr>
                <w:p>
                  <w:pPr>
                    <w:jc w:val="both"/>
                  </w:pPr>
                  <w:r>
                    <w:rPr>
                      <w:sz w:val="21"/>
                    </w:rPr>
                    <w:t>510NA056-A</w:t>
                  </w:r>
                </w:p>
              </w:tc>
              <w:tc>
                <w:tcPr>
                  <w:tcW w:type="dxa" w:w="621"/>
                  <w:tcBorders>
                    <w:top w:val="none" w:color="000000" w:sz="4"/>
                    <w:left w:val="none" w:color="000000" w:sz="4"/>
                    <w:bottom w:val="single" w:color="000000" w:sz="4"/>
                    <w:right w:val="single" w:color="000000" w:sz="4"/>
                  </w:tcBorders>
                  <w:vAlign w:val="top"/>
                </w:tcPr>
                <w:p>
                  <w:pPr>
                    <w:jc w:val="both"/>
                  </w:pPr>
                  <w:r>
                    <w:rPr>
                      <w:sz w:val="21"/>
                    </w:rPr>
                    <w:t>1201-3390</w:t>
                  </w:r>
                </w:p>
              </w:tc>
              <w:tc>
                <w:tcPr>
                  <w:tcW w:type="dxa" w:w="1707"/>
                  <w:tcBorders>
                    <w:top w:val="none" w:color="000000" w:sz="4"/>
                    <w:left w:val="none" w:color="000000" w:sz="4"/>
                    <w:bottom w:val="single" w:color="000000" w:sz="4"/>
                    <w:right w:val="single" w:color="000000" w:sz="4"/>
                  </w:tcBorders>
                  <w:vAlign w:val="top"/>
                </w:tcPr>
                <w:p>
                  <w:pPr>
                    <w:jc w:val="both"/>
                  </w:pPr>
                  <w:r>
                    <w:rPr>
                      <w:sz w:val="21"/>
                    </w:rPr>
                    <w:t>Dynamics of Continuous, Discrete and Impulsive Systems: Series A: Mathematical Analysis.</w:t>
                  </w:r>
                </w:p>
              </w:tc>
              <w:tc>
                <w:tcPr>
                  <w:tcW w:type="dxa" w:w="489"/>
                  <w:tcBorders>
                    <w:top w:val="none" w:color="000000" w:sz="4"/>
                    <w:left w:val="none" w:color="000000" w:sz="4"/>
                    <w:bottom w:val="single" w:color="000000" w:sz="4"/>
                    <w:right w:val="single" w:color="000000" w:sz="4"/>
                  </w:tcBorders>
                  <w:vAlign w:val="top"/>
                </w:tcPr>
                <w:p>
                  <w:pPr>
                    <w:jc w:val="both"/>
                  </w:pPr>
                  <w:r>
                    <w:rPr>
                      <w:sz w:val="21"/>
                    </w:rPr>
                    <w:t>6</w:t>
                  </w:r>
                </w:p>
              </w:tc>
              <w:tc>
                <w:tcPr>
                  <w:tcW w:type="dxa" w:w="1773"/>
                  <w:tcBorders>
                    <w:top w:val="none" w:color="000000" w:sz="4"/>
                    <w:left w:val="none" w:color="000000" w:sz="4"/>
                    <w:bottom w:val="single" w:color="000000" w:sz="4"/>
                    <w:right w:val="single" w:color="000000" w:sz="4"/>
                  </w:tcBorders>
                  <w:vAlign w:val="top"/>
                </w:tcPr>
                <w:p>
                  <w:pPr>
                    <w:jc w:val="both"/>
                  </w:pPr>
                  <w:r>
                    <w:rPr>
                      <w:sz w:val="21"/>
                    </w:rPr>
                    <w:t>DCDIS Journal.</w:t>
                  </w:r>
                </w:p>
              </w:tc>
            </w:tr>
          </w:tbl>
          <w:p>
            <w:pPr>
              <w:jc w:val="both"/>
            </w:pPr>
          </w:p>
          <w:p>
            <w:pPr>
              <w:ind w:firstLine="420"/>
            </w:pPr>
            <w:r>
              <w:rPr>
                <w:sz w:val="21"/>
              </w:rPr>
              <w:t>4.</w:t>
            </w:r>
            <w:r>
              <w:rPr>
                <w:sz w:val="21"/>
              </w:rPr>
              <w:t>2024</w:t>
            </w:r>
            <w:r>
              <w:rPr>
                <w:sz w:val="21"/>
              </w:rPr>
              <w:t>年原版港台期刊订单</w:t>
            </w:r>
          </w:p>
          <w:tbl>
            <w:tblPr>
              <w:tblInd w:type="dxa" w:w="120"/>
              <w:tblBorders>
                <w:top w:val="none" w:color="000000" w:sz="4"/>
                <w:left w:val="none" w:color="000000" w:sz="4"/>
                <w:bottom w:val="none" w:color="000000" w:sz="4"/>
                <w:right w:val="none" w:color="000000" w:sz="4"/>
                <w:insideH w:val="none"/>
                <w:insideV w:val="none"/>
              </w:tblBorders>
            </w:tblPr>
            <w:tblGrid>
              <w:gridCol w:w="277"/>
              <w:gridCol w:w="996"/>
              <w:gridCol w:w="1752"/>
              <w:gridCol w:w="996"/>
              <w:gridCol w:w="1084"/>
              <w:gridCol w:w="453"/>
            </w:tblGrid>
            <w:tr>
              <w:tc>
                <w:tcPr>
                  <w:tcW w:type="dxa" w:w="277"/>
                  <w:tcBorders>
                    <w:top w:val="single" w:color="000000" w:sz="4"/>
                    <w:left w:val="single" w:color="000000" w:sz="4"/>
                    <w:bottom w:val="single" w:color="000000" w:sz="4"/>
                    <w:right w:val="single" w:color="000000" w:sz="4"/>
                  </w:tcBorders>
                  <w:vAlign w:val="top"/>
                </w:tcPr>
                <w:p>
                  <w:pPr>
                    <w:jc w:val="both"/>
                  </w:pPr>
                  <w:r>
                    <w:rPr>
                      <w:sz w:val="21"/>
                    </w:rPr>
                    <w:t>序号</w:t>
                  </w:r>
                </w:p>
              </w:tc>
              <w:tc>
                <w:tcPr>
                  <w:tcW w:type="dxa" w:w="996"/>
                  <w:tcBorders>
                    <w:top w:val="single" w:color="000000" w:sz="4"/>
                    <w:left w:val="none" w:color="000000" w:sz="4"/>
                    <w:bottom w:val="single" w:color="000000" w:sz="4"/>
                    <w:right w:val="single" w:color="000000" w:sz="4"/>
                  </w:tcBorders>
                  <w:vAlign w:val="top"/>
                </w:tcPr>
                <w:p>
                  <w:pPr>
                    <w:jc w:val="both"/>
                  </w:pPr>
                  <w:r>
                    <w:rPr>
                      <w:sz w:val="21"/>
                    </w:rPr>
                    <w:t>中图刊号</w:t>
                  </w:r>
                </w:p>
              </w:tc>
              <w:tc>
                <w:tcPr>
                  <w:tcW w:type="dxa" w:w="1752"/>
                  <w:tcBorders>
                    <w:top w:val="single" w:color="000000" w:sz="4"/>
                    <w:left w:val="none" w:color="000000" w:sz="4"/>
                    <w:bottom w:val="single" w:color="000000" w:sz="4"/>
                    <w:right w:val="single" w:color="000000" w:sz="4"/>
                  </w:tcBorders>
                  <w:vAlign w:val="top"/>
                </w:tcPr>
                <w:p>
                  <w:pPr>
                    <w:jc w:val="both"/>
                  </w:pPr>
                  <w:r>
                    <w:rPr>
                      <w:sz w:val="21"/>
                    </w:rPr>
                    <w:t>刊名</w:t>
                  </w:r>
                </w:p>
              </w:tc>
              <w:tc>
                <w:tcPr>
                  <w:tcW w:type="dxa" w:w="996"/>
                  <w:tcBorders>
                    <w:top w:val="single" w:color="000000" w:sz="4"/>
                    <w:left w:val="none" w:color="000000" w:sz="4"/>
                    <w:bottom w:val="single" w:color="000000" w:sz="4"/>
                    <w:right w:val="single" w:color="000000" w:sz="4"/>
                  </w:tcBorders>
                  <w:vAlign w:val="top"/>
                </w:tcPr>
                <w:p>
                  <w:pPr>
                    <w:jc w:val="both"/>
                  </w:pPr>
                  <w:r>
                    <w:rPr>
                      <w:sz w:val="21"/>
                    </w:rPr>
                    <w:t>简体字刊名</w:t>
                  </w:r>
                </w:p>
              </w:tc>
              <w:tc>
                <w:tcPr>
                  <w:tcW w:type="dxa" w:w="1084"/>
                  <w:tcBorders>
                    <w:top w:val="single" w:color="000000" w:sz="4"/>
                    <w:left w:val="none" w:color="000000" w:sz="4"/>
                    <w:bottom w:val="single" w:color="000000" w:sz="4"/>
                    <w:right w:val="single" w:color="000000" w:sz="4"/>
                  </w:tcBorders>
                  <w:vAlign w:val="top"/>
                </w:tcPr>
                <w:p>
                  <w:pPr>
                    <w:jc w:val="both"/>
                  </w:pPr>
                  <w:r>
                    <w:rPr>
                      <w:sz w:val="21"/>
                    </w:rPr>
                    <w:t>出版社</w:t>
                  </w:r>
                </w:p>
              </w:tc>
              <w:tc>
                <w:tcPr>
                  <w:tcW w:type="dxa" w:w="453"/>
                  <w:tcBorders>
                    <w:top w:val="single" w:color="000000" w:sz="4"/>
                    <w:left w:val="none" w:color="000000" w:sz="4"/>
                    <w:bottom w:val="single" w:color="000000" w:sz="4"/>
                    <w:right w:val="single" w:color="000000" w:sz="4"/>
                  </w:tcBorders>
                  <w:vAlign w:val="top"/>
                </w:tcPr>
                <w:p>
                  <w:pPr>
                    <w:jc w:val="both"/>
                  </w:pPr>
                  <w:r>
                    <w:rPr>
                      <w:sz w:val="21"/>
                    </w:rPr>
                    <w:t>频率</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294X0062</w:t>
                  </w:r>
                </w:p>
              </w:tc>
              <w:tc>
                <w:tcPr>
                  <w:tcW w:type="dxa" w:w="1752"/>
                  <w:tcBorders>
                    <w:top w:val="none" w:color="000000" w:sz="4"/>
                    <w:left w:val="none" w:color="000000" w:sz="4"/>
                    <w:bottom w:val="single" w:color="000000" w:sz="4"/>
                    <w:right w:val="single" w:color="000000" w:sz="4"/>
                  </w:tcBorders>
                  <w:vAlign w:val="top"/>
                </w:tcPr>
                <w:p>
                  <w:pPr>
                    <w:jc w:val="both"/>
                  </w:pPr>
                  <w:r>
                    <w:rPr>
                      <w:sz w:val="21"/>
                    </w:rPr>
                    <w:t>天下雜誌</w:t>
                  </w:r>
                  <w:r>
                    <w:rPr>
                      <w:sz w:val="21"/>
                    </w:rPr>
                    <w:t>/Common Weaslth.</w:t>
                  </w:r>
                </w:p>
              </w:tc>
              <w:tc>
                <w:tcPr>
                  <w:tcW w:type="dxa" w:w="996"/>
                  <w:tcBorders>
                    <w:top w:val="none" w:color="000000" w:sz="4"/>
                    <w:left w:val="none" w:color="000000" w:sz="4"/>
                    <w:bottom w:val="single" w:color="000000" w:sz="4"/>
                    <w:right w:val="single" w:color="000000" w:sz="4"/>
                  </w:tcBorders>
                  <w:vAlign w:val="top"/>
                </w:tcPr>
                <w:p>
                  <w:pPr>
                    <w:jc w:val="both"/>
                  </w:pPr>
                  <w:r>
                    <w:rPr>
                      <w:sz w:val="21"/>
                    </w:rPr>
                    <w:t>《天下杂志》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天下雜誌股份有限公司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25</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w:t>
                  </w:r>
                </w:p>
              </w:tc>
              <w:tc>
                <w:tcPr>
                  <w:tcW w:type="dxa" w:w="996"/>
                  <w:tcBorders>
                    <w:top w:val="none" w:color="000000" w:sz="4"/>
                    <w:left w:val="none" w:color="000000" w:sz="4"/>
                    <w:bottom w:val="single" w:color="000000" w:sz="4"/>
                    <w:right w:val="single" w:color="000000" w:sz="4"/>
                  </w:tcBorders>
                  <w:vAlign w:val="top"/>
                </w:tcPr>
                <w:p>
                  <w:pPr>
                    <w:jc w:val="both"/>
                  </w:pPr>
                  <w:r>
                    <w:rPr>
                      <w:sz w:val="21"/>
                    </w:rPr>
                    <w:t>200X0037</w:t>
                  </w:r>
                </w:p>
              </w:tc>
              <w:tc>
                <w:tcPr>
                  <w:tcW w:type="dxa" w:w="1752"/>
                  <w:tcBorders>
                    <w:top w:val="none" w:color="000000" w:sz="4"/>
                    <w:left w:val="none" w:color="000000" w:sz="4"/>
                    <w:bottom w:val="single" w:color="000000" w:sz="4"/>
                    <w:right w:val="single" w:color="000000" w:sz="4"/>
                  </w:tcBorders>
                  <w:vAlign w:val="top"/>
                </w:tcPr>
                <w:p>
                  <w:pPr>
                    <w:jc w:val="both"/>
                  </w:pPr>
                  <w:r>
                    <w:rPr>
                      <w:sz w:val="21"/>
                    </w:rPr>
                    <w:t>臺灣風物</w:t>
                  </w:r>
                  <w:r>
                    <w:rPr>
                      <w:sz w:val="21"/>
                    </w:rPr>
                    <w:t>/Taiwan Folkways.</w:t>
                  </w:r>
                </w:p>
              </w:tc>
              <w:tc>
                <w:tcPr>
                  <w:tcW w:type="dxa" w:w="996"/>
                  <w:tcBorders>
                    <w:top w:val="none" w:color="000000" w:sz="4"/>
                    <w:left w:val="none" w:color="000000" w:sz="4"/>
                    <w:bottom w:val="single" w:color="000000" w:sz="4"/>
                    <w:right w:val="single" w:color="000000" w:sz="4"/>
                  </w:tcBorders>
                  <w:vAlign w:val="top"/>
                </w:tcPr>
                <w:p>
                  <w:pPr>
                    <w:jc w:val="both"/>
                  </w:pPr>
                  <w:r>
                    <w:rPr>
                      <w:sz w:val="21"/>
                    </w:rPr>
                    <w:t>《台湾风物》</w:t>
                  </w:r>
                </w:p>
              </w:tc>
              <w:tc>
                <w:tcPr>
                  <w:tcW w:type="dxa" w:w="1084"/>
                  <w:tcBorders>
                    <w:top w:val="none" w:color="000000" w:sz="4"/>
                    <w:left w:val="none" w:color="000000" w:sz="4"/>
                    <w:bottom w:val="single" w:color="000000" w:sz="4"/>
                    <w:right w:val="single" w:color="000000" w:sz="4"/>
                  </w:tcBorders>
                  <w:vAlign w:val="top"/>
                </w:tcPr>
                <w:p>
                  <w:pPr>
                    <w:jc w:val="both"/>
                  </w:pPr>
                  <w:r>
                    <w:rPr>
                      <w:sz w:val="21"/>
                    </w:rPr>
                    <w:t>汉声杂志社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w:t>
                  </w:r>
                </w:p>
              </w:tc>
              <w:tc>
                <w:tcPr>
                  <w:tcW w:type="dxa" w:w="996"/>
                  <w:tcBorders>
                    <w:top w:val="none" w:color="000000" w:sz="4"/>
                    <w:left w:val="none" w:color="000000" w:sz="4"/>
                    <w:bottom w:val="single" w:color="000000" w:sz="4"/>
                    <w:right w:val="single" w:color="000000" w:sz="4"/>
                  </w:tcBorders>
                  <w:vAlign w:val="top"/>
                </w:tcPr>
                <w:p>
                  <w:pPr>
                    <w:jc w:val="both"/>
                  </w:pPr>
                  <w:r>
                    <w:rPr>
                      <w:sz w:val="21"/>
                    </w:rPr>
                    <w:t>200X0100</w:t>
                  </w:r>
                </w:p>
              </w:tc>
              <w:tc>
                <w:tcPr>
                  <w:tcW w:type="dxa" w:w="1752"/>
                  <w:tcBorders>
                    <w:top w:val="none" w:color="000000" w:sz="4"/>
                    <w:left w:val="none" w:color="000000" w:sz="4"/>
                    <w:bottom w:val="single" w:color="000000" w:sz="4"/>
                    <w:right w:val="single" w:color="000000" w:sz="4"/>
                  </w:tcBorders>
                  <w:vAlign w:val="top"/>
                </w:tcPr>
                <w:p>
                  <w:pPr>
                    <w:jc w:val="both"/>
                  </w:pPr>
                  <w:r>
                    <w:rPr>
                      <w:sz w:val="21"/>
                    </w:rPr>
                    <w:t>汉声</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《汉声》</w:t>
                  </w:r>
                </w:p>
              </w:tc>
              <w:tc>
                <w:tcPr>
                  <w:tcW w:type="dxa" w:w="1084"/>
                  <w:tcBorders>
                    <w:top w:val="none" w:color="000000" w:sz="4"/>
                    <w:left w:val="none" w:color="000000" w:sz="4"/>
                    <w:bottom w:val="single" w:color="000000" w:sz="4"/>
                    <w:right w:val="single" w:color="000000" w:sz="4"/>
                  </w:tcBorders>
                  <w:vAlign w:val="top"/>
                </w:tcPr>
                <w:p>
                  <w:pPr>
                    <w:jc w:val="both"/>
                  </w:pPr>
                </w:p>
              </w:tc>
              <w:tc>
                <w:tcPr>
                  <w:tcW w:type="dxa" w:w="453"/>
                  <w:tcBorders>
                    <w:top w:val="none" w:color="000000" w:sz="4"/>
                    <w:left w:val="none" w:color="000000" w:sz="4"/>
                    <w:bottom w:val="single" w:color="000000" w:sz="4"/>
                    <w:right w:val="single" w:color="000000" w:sz="4"/>
                  </w:tcBorders>
                  <w:vAlign w:val="top"/>
                </w:tcPr>
                <w:p>
                  <w:pPr>
                    <w:jc w:val="both"/>
                  </w:pPr>
                  <w:r>
                    <w:rPr>
                      <w:sz w:val="21"/>
                    </w:rPr>
                    <w:t>1</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4</w:t>
                  </w:r>
                </w:p>
              </w:tc>
              <w:tc>
                <w:tcPr>
                  <w:tcW w:type="dxa" w:w="996"/>
                  <w:tcBorders>
                    <w:top w:val="none" w:color="000000" w:sz="4"/>
                    <w:left w:val="none" w:color="000000" w:sz="4"/>
                    <w:bottom w:val="single" w:color="000000" w:sz="4"/>
                    <w:right w:val="single" w:color="000000" w:sz="4"/>
                  </w:tcBorders>
                  <w:vAlign w:val="top"/>
                </w:tcPr>
                <w:p>
                  <w:pPr>
                    <w:jc w:val="both"/>
                  </w:pPr>
                  <w:r>
                    <w:rPr>
                      <w:sz w:val="21"/>
                    </w:rPr>
                    <w:t>200X0127</w:t>
                  </w:r>
                </w:p>
              </w:tc>
              <w:tc>
                <w:tcPr>
                  <w:tcW w:type="dxa" w:w="1752"/>
                  <w:tcBorders>
                    <w:top w:val="none" w:color="000000" w:sz="4"/>
                    <w:left w:val="none" w:color="000000" w:sz="4"/>
                    <w:bottom w:val="single" w:color="000000" w:sz="4"/>
                    <w:right w:val="single" w:color="000000" w:sz="4"/>
                  </w:tcBorders>
                  <w:vAlign w:val="top"/>
                </w:tcPr>
                <w:p>
                  <w:pPr>
                    <w:jc w:val="both"/>
                  </w:pPr>
                  <w:r>
                    <w:rPr>
                      <w:sz w:val="21"/>
                    </w:rPr>
                    <w:t>漢學研究</w:t>
                  </w:r>
                  <w:r>
                    <w:rPr>
                      <w:sz w:val="21"/>
                    </w:rPr>
                    <w:t>/Chinese Studies.</w:t>
                  </w:r>
                </w:p>
              </w:tc>
              <w:tc>
                <w:tcPr>
                  <w:tcW w:type="dxa" w:w="996"/>
                  <w:tcBorders>
                    <w:top w:val="none" w:color="000000" w:sz="4"/>
                    <w:left w:val="none" w:color="000000" w:sz="4"/>
                    <w:bottom w:val="single" w:color="000000" w:sz="4"/>
                    <w:right w:val="single" w:color="000000" w:sz="4"/>
                  </w:tcBorders>
                  <w:vAlign w:val="top"/>
                </w:tcPr>
                <w:p>
                  <w:pPr>
                    <w:jc w:val="both"/>
                  </w:pPr>
                  <w:r>
                    <w:rPr>
                      <w:sz w:val="21"/>
                    </w:rPr>
                    <w:t>《汉学研究》</w:t>
                  </w:r>
                </w:p>
              </w:tc>
              <w:tc>
                <w:tcPr>
                  <w:tcW w:type="dxa" w:w="1084"/>
                  <w:tcBorders>
                    <w:top w:val="none" w:color="000000" w:sz="4"/>
                    <w:left w:val="none" w:color="000000" w:sz="4"/>
                    <w:bottom w:val="single" w:color="000000" w:sz="4"/>
                    <w:right w:val="single" w:color="000000" w:sz="4"/>
                  </w:tcBorders>
                  <w:vAlign w:val="top"/>
                </w:tcPr>
                <w:p>
                  <w:pPr>
                    <w:jc w:val="both"/>
                  </w:pPr>
                  <w:r>
                    <w:rPr>
                      <w:sz w:val="21"/>
                    </w:rPr>
                    <w:t>漢學研究中心</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5</w:t>
                  </w:r>
                </w:p>
              </w:tc>
              <w:tc>
                <w:tcPr>
                  <w:tcW w:type="dxa" w:w="996"/>
                  <w:tcBorders>
                    <w:top w:val="none" w:color="000000" w:sz="4"/>
                    <w:left w:val="none" w:color="000000" w:sz="4"/>
                    <w:bottom w:val="single" w:color="000000" w:sz="4"/>
                    <w:right w:val="single" w:color="000000" w:sz="4"/>
                  </w:tcBorders>
                  <w:vAlign w:val="top"/>
                </w:tcPr>
                <w:p>
                  <w:pPr>
                    <w:jc w:val="both"/>
                  </w:pPr>
                  <w:r>
                    <w:rPr>
                      <w:sz w:val="21"/>
                    </w:rPr>
                    <w:t>210X0003</w:t>
                  </w:r>
                </w:p>
              </w:tc>
              <w:tc>
                <w:tcPr>
                  <w:tcW w:type="dxa" w:w="1752"/>
                  <w:tcBorders>
                    <w:top w:val="none" w:color="000000" w:sz="4"/>
                    <w:left w:val="none" w:color="000000" w:sz="4"/>
                    <w:bottom w:val="single" w:color="000000" w:sz="4"/>
                    <w:right w:val="single" w:color="000000" w:sz="4"/>
                  </w:tcBorders>
                  <w:vAlign w:val="top"/>
                </w:tcPr>
                <w:p>
                  <w:pPr>
                    <w:jc w:val="both"/>
                  </w:pPr>
                  <w:r>
                    <w:rPr>
                      <w:sz w:val="21"/>
                    </w:rPr>
                    <w:t>中央研究院近代史研究所集刊</w:t>
                  </w:r>
                  <w:r>
                    <w:rPr>
                      <w:sz w:val="21"/>
                    </w:rPr>
                    <w:t>/Bulletin of the Institute of Modern History Academia Sinica.</w:t>
                  </w:r>
                </w:p>
              </w:tc>
              <w:tc>
                <w:tcPr>
                  <w:tcW w:type="dxa" w:w="996"/>
                  <w:tcBorders>
                    <w:top w:val="none" w:color="000000" w:sz="4"/>
                    <w:left w:val="none" w:color="000000" w:sz="4"/>
                    <w:bottom w:val="single" w:color="000000" w:sz="4"/>
                    <w:right w:val="single" w:color="000000" w:sz="4"/>
                  </w:tcBorders>
                  <w:vAlign w:val="top"/>
                </w:tcPr>
                <w:p>
                  <w:pPr>
                    <w:jc w:val="both"/>
                  </w:pPr>
                  <w:r>
                    <w:rPr>
                      <w:sz w:val="21"/>
                    </w:rPr>
                    <w:t>《中央研究院近代史研究所集刊》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中央研究院近代史研究所</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6</w:t>
                  </w:r>
                </w:p>
              </w:tc>
              <w:tc>
                <w:tcPr>
                  <w:tcW w:type="dxa" w:w="996"/>
                  <w:tcBorders>
                    <w:top w:val="none" w:color="000000" w:sz="4"/>
                    <w:left w:val="none" w:color="000000" w:sz="4"/>
                    <w:bottom w:val="single" w:color="000000" w:sz="4"/>
                    <w:right w:val="single" w:color="000000" w:sz="4"/>
                  </w:tcBorders>
                  <w:vAlign w:val="top"/>
                </w:tcPr>
                <w:p>
                  <w:pPr>
                    <w:jc w:val="both"/>
                  </w:pPr>
                  <w:r>
                    <w:rPr>
                      <w:sz w:val="21"/>
                    </w:rPr>
                    <w:t>261X0001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傳記文學</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《传记文学》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傳記文學出版社股份有限公司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7</w:t>
                  </w:r>
                </w:p>
              </w:tc>
              <w:tc>
                <w:tcPr>
                  <w:tcW w:type="dxa" w:w="996"/>
                  <w:tcBorders>
                    <w:top w:val="none" w:color="000000" w:sz="4"/>
                    <w:left w:val="none" w:color="000000" w:sz="4"/>
                    <w:bottom w:val="single" w:color="000000" w:sz="4"/>
                    <w:right w:val="single" w:color="000000" w:sz="4"/>
                  </w:tcBorders>
                  <w:vAlign w:val="top"/>
                </w:tcPr>
                <w:p>
                  <w:pPr>
                    <w:jc w:val="both"/>
                  </w:pPr>
                  <w:r>
                    <w:rPr>
                      <w:sz w:val="21"/>
                    </w:rPr>
                    <w:t>270X0043</w:t>
                  </w:r>
                </w:p>
              </w:tc>
              <w:tc>
                <w:tcPr>
                  <w:tcW w:type="dxa" w:w="1752"/>
                  <w:tcBorders>
                    <w:top w:val="none" w:color="000000" w:sz="4"/>
                    <w:left w:val="none" w:color="000000" w:sz="4"/>
                    <w:bottom w:val="single" w:color="000000" w:sz="4"/>
                    <w:right w:val="single" w:color="000000" w:sz="4"/>
                  </w:tcBorders>
                  <w:vAlign w:val="top"/>
                </w:tcPr>
                <w:p>
                  <w:pPr>
                    <w:jc w:val="both"/>
                  </w:pPr>
                  <w:r>
                    <w:rPr>
                      <w:sz w:val="21"/>
                    </w:rPr>
                    <w:t>經濟前瞻</w:t>
                  </w:r>
                  <w:r>
                    <w:rPr>
                      <w:sz w:val="21"/>
                    </w:rPr>
                    <w:t>/Economic Outlook Bimonthly.</w:t>
                  </w:r>
                </w:p>
              </w:tc>
              <w:tc>
                <w:tcPr>
                  <w:tcW w:type="dxa" w:w="996"/>
                  <w:tcBorders>
                    <w:top w:val="none" w:color="000000" w:sz="4"/>
                    <w:left w:val="none" w:color="000000" w:sz="4"/>
                    <w:bottom w:val="single" w:color="000000" w:sz="4"/>
                    <w:right w:val="single" w:color="000000" w:sz="4"/>
                  </w:tcBorders>
                  <w:vAlign w:val="top"/>
                </w:tcPr>
                <w:p>
                  <w:pPr>
                    <w:jc w:val="both"/>
                  </w:pPr>
                  <w:r>
                    <w:rPr>
                      <w:sz w:val="21"/>
                    </w:rPr>
                    <w:t>《经济前瞻》</w:t>
                  </w:r>
                </w:p>
              </w:tc>
              <w:tc>
                <w:tcPr>
                  <w:tcW w:type="dxa" w:w="1084"/>
                  <w:tcBorders>
                    <w:top w:val="none" w:color="000000" w:sz="4"/>
                    <w:left w:val="none" w:color="000000" w:sz="4"/>
                    <w:bottom w:val="single" w:color="000000" w:sz="4"/>
                    <w:right w:val="single" w:color="000000" w:sz="4"/>
                  </w:tcBorders>
                  <w:vAlign w:val="top"/>
                </w:tcPr>
                <w:p>
                  <w:pPr>
                    <w:jc w:val="both"/>
                  </w:pPr>
                  <w:r>
                    <w:rPr>
                      <w:sz w:val="21"/>
                    </w:rPr>
                    <w:t>財團法人中華經濟研究院</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6</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8</w:t>
                  </w:r>
                </w:p>
              </w:tc>
              <w:tc>
                <w:tcPr>
                  <w:tcW w:type="dxa" w:w="996"/>
                  <w:tcBorders>
                    <w:top w:val="none" w:color="000000" w:sz="4"/>
                    <w:left w:val="none" w:color="000000" w:sz="4"/>
                    <w:bottom w:val="single" w:color="000000" w:sz="4"/>
                    <w:right w:val="single" w:color="000000" w:sz="4"/>
                  </w:tcBorders>
                  <w:vAlign w:val="top"/>
                </w:tcPr>
                <w:p>
                  <w:pPr>
                    <w:jc w:val="both"/>
                  </w:pPr>
                  <w:r>
                    <w:rPr>
                      <w:sz w:val="21"/>
                    </w:rPr>
                    <w:t>270Y0001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經濟導報</w:t>
                  </w:r>
                  <w:r>
                    <w:rPr>
                      <w:sz w:val="21"/>
                    </w:rPr>
                    <w:t>/Economic Reporter.</w:t>
                  </w:r>
                </w:p>
              </w:tc>
              <w:tc>
                <w:tcPr>
                  <w:tcW w:type="dxa" w:w="996"/>
                  <w:tcBorders>
                    <w:top w:val="none" w:color="000000" w:sz="4"/>
                    <w:left w:val="none" w:color="000000" w:sz="4"/>
                    <w:bottom w:val="single" w:color="000000" w:sz="4"/>
                    <w:right w:val="single" w:color="000000" w:sz="4"/>
                  </w:tcBorders>
                  <w:vAlign w:val="top"/>
                </w:tcPr>
                <w:p>
                  <w:pPr>
                    <w:jc w:val="both"/>
                  </w:pPr>
                  <w:r>
                    <w:rPr>
                      <w:sz w:val="21"/>
                    </w:rPr>
                    <w:t>《经济导报》</w:t>
                  </w:r>
                </w:p>
              </w:tc>
              <w:tc>
                <w:tcPr>
                  <w:tcW w:type="dxa" w:w="1084"/>
                  <w:tcBorders>
                    <w:top w:val="none" w:color="000000" w:sz="4"/>
                    <w:left w:val="none" w:color="000000" w:sz="4"/>
                    <w:bottom w:val="single" w:color="000000" w:sz="4"/>
                    <w:right w:val="single" w:color="000000" w:sz="4"/>
                  </w:tcBorders>
                  <w:vAlign w:val="top"/>
                </w:tcPr>
                <w:p>
                  <w:pPr>
                    <w:jc w:val="both"/>
                  </w:pPr>
                  <w:r>
                    <w:rPr>
                      <w:sz w:val="21"/>
                    </w:rPr>
                    <w:t>經濟導報社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9</w:t>
                  </w:r>
                </w:p>
              </w:tc>
              <w:tc>
                <w:tcPr>
                  <w:tcW w:type="dxa" w:w="996"/>
                  <w:tcBorders>
                    <w:top w:val="none" w:color="000000" w:sz="4"/>
                    <w:left w:val="none" w:color="000000" w:sz="4"/>
                    <w:bottom w:val="single" w:color="000000" w:sz="4"/>
                    <w:right w:val="single" w:color="000000" w:sz="4"/>
                  </w:tcBorders>
                  <w:vAlign w:val="top"/>
                </w:tcPr>
                <w:p>
                  <w:pPr>
                    <w:jc w:val="both"/>
                  </w:pPr>
                  <w:r>
                    <w:rPr>
                      <w:sz w:val="21"/>
                    </w:rPr>
                    <w:t>291X0004</w:t>
                  </w:r>
                </w:p>
              </w:tc>
              <w:tc>
                <w:tcPr>
                  <w:tcW w:type="dxa" w:w="1752"/>
                  <w:tcBorders>
                    <w:top w:val="none" w:color="000000" w:sz="4"/>
                    <w:left w:val="none" w:color="000000" w:sz="4"/>
                    <w:bottom w:val="single" w:color="000000" w:sz="4"/>
                    <w:right w:val="single" w:color="000000" w:sz="4"/>
                  </w:tcBorders>
                  <w:vAlign w:val="top"/>
                </w:tcPr>
                <w:p>
                  <w:pPr>
                    <w:jc w:val="both"/>
                  </w:pPr>
                  <w:r>
                    <w:rPr>
                      <w:sz w:val="21"/>
                    </w:rPr>
                    <w:t>哈佛商業評論中文版</w:t>
                  </w:r>
                  <w:r>
                    <w:rPr>
                      <w:sz w:val="21"/>
                    </w:rPr>
                    <w:t>/Harvard Business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《哈佛商业评论》</w:t>
                  </w:r>
                </w:p>
              </w:tc>
              <w:tc>
                <w:tcPr>
                  <w:tcW w:type="dxa" w:w="1084"/>
                  <w:tcBorders>
                    <w:top w:val="none" w:color="000000" w:sz="4"/>
                    <w:left w:val="none" w:color="000000" w:sz="4"/>
                    <w:bottom w:val="single" w:color="000000" w:sz="4"/>
                    <w:right w:val="single" w:color="000000" w:sz="4"/>
                  </w:tcBorders>
                  <w:vAlign w:val="top"/>
                </w:tcPr>
                <w:p>
                  <w:pPr>
                    <w:jc w:val="both"/>
                  </w:pPr>
                  <w:r>
                    <w:rPr>
                      <w:sz w:val="21"/>
                    </w:rPr>
                    <w:t>資訊傳真股份有限公司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10</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294X0012</w:t>
                  </w:r>
                </w:p>
              </w:tc>
              <w:tc>
                <w:tcPr>
                  <w:tcW w:type="dxa" w:w="1752"/>
                  <w:tcBorders>
                    <w:top w:val="none" w:color="000000" w:sz="4"/>
                    <w:left w:val="none" w:color="000000" w:sz="4"/>
                    <w:bottom w:val="single" w:color="000000" w:sz="4"/>
                    <w:right w:val="single" w:color="000000" w:sz="4"/>
                  </w:tcBorders>
                  <w:vAlign w:val="top"/>
                </w:tcPr>
                <w:p>
                  <w:pPr>
                    <w:jc w:val="both"/>
                  </w:pPr>
                  <w:r>
                    <w:rPr>
                      <w:sz w:val="21"/>
                    </w:rPr>
                    <w:t>貿易雜誌</w:t>
                  </w:r>
                  <w:r>
                    <w:rPr>
                      <w:sz w:val="21"/>
                    </w:rPr>
                    <w:t>/Trade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《贸易杂志》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臺北市進出口商業同業公會</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11</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294X0069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商業周刊</w:t>
                  </w:r>
                  <w:r>
                    <w:rPr>
                      <w:sz w:val="21"/>
                    </w:rPr>
                    <w:t>/Business Weekly.</w:t>
                  </w:r>
                </w:p>
              </w:tc>
              <w:tc>
                <w:tcPr>
                  <w:tcW w:type="dxa" w:w="996"/>
                  <w:tcBorders>
                    <w:top w:val="none" w:color="000000" w:sz="4"/>
                    <w:left w:val="none" w:color="000000" w:sz="4"/>
                    <w:bottom w:val="single" w:color="000000" w:sz="4"/>
                    <w:right w:val="single" w:color="000000" w:sz="4"/>
                  </w:tcBorders>
                  <w:vAlign w:val="top"/>
                </w:tcPr>
                <w:p>
                  <w:pPr>
                    <w:jc w:val="both"/>
                  </w:pPr>
                  <w:r>
                    <w:rPr>
                      <w:sz w:val="21"/>
                    </w:rPr>
                    <w:t>《商业周刊》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商周文化事業股份有限公司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52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12</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294X0083</w:t>
                  </w:r>
                </w:p>
              </w:tc>
              <w:tc>
                <w:tcPr>
                  <w:tcW w:type="dxa" w:w="1752"/>
                  <w:tcBorders>
                    <w:top w:val="none" w:color="000000" w:sz="4"/>
                    <w:left w:val="none" w:color="000000" w:sz="4"/>
                    <w:bottom w:val="single" w:color="000000" w:sz="4"/>
                    <w:right w:val="single" w:color="000000" w:sz="4"/>
                  </w:tcBorders>
                  <w:vAlign w:val="top"/>
                </w:tcPr>
                <w:p>
                  <w:pPr>
                    <w:jc w:val="both"/>
                  </w:pPr>
                  <w:r>
                    <w:rPr>
                      <w:sz w:val="21"/>
                    </w:rPr>
                    <w:t>動腦</w:t>
                  </w:r>
                  <w:r>
                    <w:rPr>
                      <w:sz w:val="21"/>
                    </w:rPr>
                    <w:t>/Brain.</w:t>
                  </w:r>
                </w:p>
              </w:tc>
              <w:tc>
                <w:tcPr>
                  <w:tcW w:type="dxa" w:w="996"/>
                  <w:tcBorders>
                    <w:top w:val="none" w:color="000000" w:sz="4"/>
                    <w:left w:val="none" w:color="000000" w:sz="4"/>
                    <w:bottom w:val="single" w:color="000000" w:sz="4"/>
                    <w:right w:val="single" w:color="000000" w:sz="4"/>
                  </w:tcBorders>
                  <w:vAlign w:val="top"/>
                </w:tcPr>
                <w:p>
                  <w:pPr>
                    <w:jc w:val="both"/>
                  </w:pPr>
                  <w:r>
                    <w:rPr>
                      <w:sz w:val="21"/>
                    </w:rPr>
                    <w:t>《动脑》</w:t>
                  </w:r>
                </w:p>
              </w:tc>
              <w:tc>
                <w:tcPr>
                  <w:tcW w:type="dxa" w:w="1084"/>
                  <w:tcBorders>
                    <w:top w:val="none" w:color="000000" w:sz="4"/>
                    <w:left w:val="none" w:color="000000" w:sz="4"/>
                    <w:bottom w:val="single" w:color="000000" w:sz="4"/>
                    <w:right w:val="single" w:color="000000" w:sz="4"/>
                  </w:tcBorders>
                  <w:vAlign w:val="top"/>
                </w:tcPr>
                <w:p>
                  <w:pPr>
                    <w:jc w:val="both"/>
                  </w:pPr>
                  <w:r>
                    <w:rPr>
                      <w:sz w:val="21"/>
                    </w:rPr>
                    <w:t>動腦雜誌社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13</w:t>
                  </w:r>
                </w:p>
              </w:tc>
              <w:tc>
                <w:tcPr>
                  <w:tcW w:type="dxa" w:w="996"/>
                  <w:tcBorders>
                    <w:top w:val="none" w:color="000000" w:sz="4"/>
                    <w:left w:val="none" w:color="000000" w:sz="4"/>
                    <w:bottom w:val="single" w:color="000000" w:sz="4"/>
                    <w:right w:val="single" w:color="000000" w:sz="4"/>
                  </w:tcBorders>
                  <w:vAlign w:val="top"/>
                </w:tcPr>
                <w:p>
                  <w:pPr>
                    <w:jc w:val="both"/>
                  </w:pPr>
                  <w:r>
                    <w:rPr>
                      <w:sz w:val="21"/>
                    </w:rPr>
                    <w:t>294X0084</w:t>
                  </w:r>
                </w:p>
              </w:tc>
              <w:tc>
                <w:tcPr>
                  <w:tcW w:type="dxa" w:w="1752"/>
                  <w:tcBorders>
                    <w:top w:val="none" w:color="000000" w:sz="4"/>
                    <w:left w:val="none" w:color="000000" w:sz="4"/>
                    <w:bottom w:val="single" w:color="000000" w:sz="4"/>
                    <w:right w:val="single" w:color="000000" w:sz="4"/>
                  </w:tcBorders>
                  <w:vAlign w:val="top"/>
                </w:tcPr>
                <w:p>
                  <w:pPr>
                    <w:jc w:val="both"/>
                  </w:pPr>
                  <w:r>
                    <w:rPr>
                      <w:sz w:val="21"/>
                    </w:rPr>
                    <w:t>廣告雜誌</w:t>
                  </w:r>
                  <w:r>
                    <w:rPr>
                      <w:sz w:val="21"/>
                    </w:rPr>
                    <w:t>/Advertising Age.</w:t>
                  </w:r>
                </w:p>
              </w:tc>
              <w:tc>
                <w:tcPr>
                  <w:tcW w:type="dxa" w:w="996"/>
                  <w:tcBorders>
                    <w:top w:val="none" w:color="000000" w:sz="4"/>
                    <w:left w:val="none" w:color="000000" w:sz="4"/>
                    <w:bottom w:val="single" w:color="000000" w:sz="4"/>
                    <w:right w:val="single" w:color="000000" w:sz="4"/>
                  </w:tcBorders>
                  <w:vAlign w:val="top"/>
                </w:tcPr>
                <w:p>
                  <w:pPr>
                    <w:jc w:val="both"/>
                  </w:pPr>
                  <w:r>
                    <w:rPr>
                      <w:sz w:val="21"/>
                    </w:rPr>
                    <w:t>《广告杂志》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滚石文化事业股份有限公司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14</w:t>
                  </w:r>
                </w:p>
              </w:tc>
              <w:tc>
                <w:tcPr>
                  <w:tcW w:type="dxa" w:w="996"/>
                  <w:tcBorders>
                    <w:top w:val="none" w:color="000000" w:sz="4"/>
                    <w:left w:val="none" w:color="000000" w:sz="4"/>
                    <w:bottom w:val="single" w:color="000000" w:sz="4"/>
                    <w:right w:val="single" w:color="000000" w:sz="4"/>
                  </w:tcBorders>
                  <w:vAlign w:val="top"/>
                </w:tcPr>
                <w:p>
                  <w:pPr>
                    <w:jc w:val="both"/>
                  </w:pPr>
                  <w:r>
                    <w:rPr>
                      <w:sz w:val="21"/>
                    </w:rPr>
                    <w:t>297X0009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今週刊</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《今周刊》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金源文化事業股份有限公司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52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15</w:t>
                  </w:r>
                </w:p>
              </w:tc>
              <w:tc>
                <w:tcPr>
                  <w:tcW w:type="dxa" w:w="996"/>
                  <w:tcBorders>
                    <w:top w:val="none" w:color="000000" w:sz="4"/>
                    <w:left w:val="none" w:color="000000" w:sz="4"/>
                    <w:bottom w:val="single" w:color="000000" w:sz="4"/>
                    <w:right w:val="single" w:color="000000" w:sz="4"/>
                  </w:tcBorders>
                  <w:vAlign w:val="top"/>
                </w:tcPr>
                <w:p>
                  <w:pPr>
                    <w:jc w:val="both"/>
                  </w:pPr>
                  <w:r>
                    <w:rPr>
                      <w:sz w:val="21"/>
                    </w:rPr>
                    <w:t>297X0056</w:t>
                  </w:r>
                </w:p>
              </w:tc>
              <w:tc>
                <w:tcPr>
                  <w:tcW w:type="dxa" w:w="1752"/>
                  <w:tcBorders>
                    <w:top w:val="none" w:color="000000" w:sz="4"/>
                    <w:left w:val="none" w:color="000000" w:sz="4"/>
                    <w:bottom w:val="single" w:color="000000" w:sz="4"/>
                    <w:right w:val="single" w:color="000000" w:sz="4"/>
                  </w:tcBorders>
                  <w:vAlign w:val="top"/>
                </w:tcPr>
                <w:p>
                  <w:pPr>
                    <w:jc w:val="both"/>
                  </w:pPr>
                  <w:r>
                    <w:rPr>
                      <w:sz w:val="21"/>
                    </w:rPr>
                    <w:t>財訊</w:t>
                  </w:r>
                  <w:r>
                    <w:rPr>
                      <w:sz w:val="21"/>
                    </w:rPr>
                    <w:t>/Wealth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《财讯》</w:t>
                  </w:r>
                </w:p>
              </w:tc>
              <w:tc>
                <w:tcPr>
                  <w:tcW w:type="dxa" w:w="1084"/>
                  <w:tcBorders>
                    <w:top w:val="none" w:color="000000" w:sz="4"/>
                    <w:left w:val="none" w:color="000000" w:sz="4"/>
                    <w:bottom w:val="single" w:color="000000" w:sz="4"/>
                    <w:right w:val="single" w:color="000000" w:sz="4"/>
                  </w:tcBorders>
                  <w:vAlign w:val="top"/>
                </w:tcPr>
                <w:p>
                  <w:pPr>
                    <w:jc w:val="both"/>
                  </w:pPr>
                  <w:r>
                    <w:rPr>
                      <w:sz w:val="21"/>
                    </w:rPr>
                    <w:t>財訊雜誌社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16</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廣角鏡</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《广角镜》</w:t>
                  </w:r>
                </w:p>
              </w:tc>
              <w:tc>
                <w:tcPr>
                  <w:tcW w:type="dxa" w:w="1084"/>
                  <w:tcBorders>
                    <w:top w:val="none" w:color="000000" w:sz="4"/>
                    <w:left w:val="none" w:color="000000" w:sz="4"/>
                    <w:bottom w:val="single" w:color="000000" w:sz="4"/>
                    <w:right w:val="single" w:color="000000" w:sz="4"/>
                  </w:tcBorders>
                  <w:vAlign w:val="top"/>
                </w:tcPr>
                <w:p>
                  <w:pPr>
                    <w:jc w:val="both"/>
                  </w:pPr>
                  <w:r>
                    <w:rPr>
                      <w:sz w:val="21"/>
                    </w:rPr>
                    <w:t>香港廣角鏡出版社有限公司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17</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300Y0045</w:t>
                  </w:r>
                </w:p>
              </w:tc>
              <w:tc>
                <w:tcPr>
                  <w:tcW w:type="dxa" w:w="1752"/>
                  <w:tcBorders>
                    <w:top w:val="none" w:color="000000" w:sz="4"/>
                    <w:left w:val="none" w:color="000000" w:sz="4"/>
                    <w:bottom w:val="single" w:color="000000" w:sz="4"/>
                    <w:right w:val="single" w:color="000000" w:sz="4"/>
                  </w:tcBorders>
                  <w:vAlign w:val="top"/>
                </w:tcPr>
                <w:p>
                  <w:pPr>
                    <w:jc w:val="both"/>
                  </w:pPr>
                  <w:r>
                    <w:rPr>
                      <w:sz w:val="21"/>
                    </w:rPr>
                    <w:t>鏡報</w:t>
                  </w:r>
                  <w:r>
                    <w:rPr>
                      <w:sz w:val="21"/>
                    </w:rPr>
                    <w:t>/The Mirror.</w:t>
                  </w:r>
                </w:p>
              </w:tc>
              <w:tc>
                <w:tcPr>
                  <w:tcW w:type="dxa" w:w="996"/>
                  <w:tcBorders>
                    <w:top w:val="none" w:color="000000" w:sz="4"/>
                    <w:left w:val="none" w:color="000000" w:sz="4"/>
                    <w:bottom w:val="single" w:color="000000" w:sz="4"/>
                    <w:right w:val="single" w:color="000000" w:sz="4"/>
                  </w:tcBorders>
                  <w:vAlign w:val="top"/>
                </w:tcPr>
                <w:p>
                  <w:pPr>
                    <w:jc w:val="both"/>
                  </w:pPr>
                  <w:r>
                    <w:rPr>
                      <w:sz w:val="21"/>
                    </w:rPr>
                    <w:t>《镜报》</w:t>
                  </w:r>
                </w:p>
              </w:tc>
              <w:tc>
                <w:tcPr>
                  <w:tcW w:type="dxa" w:w="1084"/>
                  <w:tcBorders>
                    <w:top w:val="none" w:color="000000" w:sz="4"/>
                    <w:left w:val="none" w:color="000000" w:sz="4"/>
                    <w:bottom w:val="single" w:color="000000" w:sz="4"/>
                    <w:right w:val="single" w:color="000000" w:sz="4"/>
                  </w:tcBorders>
                  <w:vAlign w:val="top"/>
                </w:tcPr>
                <w:p>
                  <w:pPr>
                    <w:jc w:val="both"/>
                  </w:pPr>
                  <w:r>
                    <w:rPr>
                      <w:sz w:val="21"/>
                    </w:rPr>
                    <w:t>鏡報文化企業有限公司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18</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300Y0054</w:t>
                  </w:r>
                </w:p>
              </w:tc>
              <w:tc>
                <w:tcPr>
                  <w:tcW w:type="dxa" w:w="1752"/>
                  <w:tcBorders>
                    <w:top w:val="none" w:color="000000" w:sz="4"/>
                    <w:left w:val="none" w:color="000000" w:sz="4"/>
                    <w:bottom w:val="single" w:color="000000" w:sz="4"/>
                    <w:right w:val="single" w:color="000000" w:sz="4"/>
                  </w:tcBorders>
                  <w:vAlign w:val="top"/>
                </w:tcPr>
                <w:p>
                  <w:pPr>
                    <w:jc w:val="both"/>
                  </w:pPr>
                  <w:r>
                    <w:rPr>
                      <w:sz w:val="21"/>
                    </w:rPr>
                    <w:t>華人．</w:t>
                  </w:r>
                </w:p>
              </w:tc>
              <w:tc>
                <w:tcPr>
                  <w:tcW w:type="dxa" w:w="996"/>
                  <w:tcBorders>
                    <w:top w:val="none" w:color="000000" w:sz="4"/>
                    <w:left w:val="none" w:color="000000" w:sz="4"/>
                    <w:bottom w:val="single" w:color="000000" w:sz="4"/>
                    <w:right w:val="single" w:color="000000" w:sz="4"/>
                  </w:tcBorders>
                  <w:vAlign w:val="top"/>
                </w:tcPr>
                <w:p>
                  <w:pPr>
                    <w:jc w:val="both"/>
                  </w:pPr>
                  <w:r>
                    <w:rPr>
                      <w:sz w:val="21"/>
                    </w:rPr>
                    <w:t>《华人》</w:t>
                  </w:r>
                </w:p>
              </w:tc>
              <w:tc>
                <w:tcPr>
                  <w:tcW w:type="dxa" w:w="1084"/>
                  <w:tcBorders>
                    <w:top w:val="none" w:color="000000" w:sz="4"/>
                    <w:left w:val="none" w:color="000000" w:sz="4"/>
                    <w:bottom w:val="single" w:color="000000" w:sz="4"/>
                    <w:right w:val="single" w:color="000000" w:sz="4"/>
                  </w:tcBorders>
                  <w:vAlign w:val="top"/>
                </w:tcPr>
                <w:p>
                  <w:pPr>
                    <w:jc w:val="both"/>
                  </w:pPr>
                  <w:r>
                    <w:rPr>
                      <w:sz w:val="21"/>
                    </w:rPr>
                    <w:t>地平線出版社</w:t>
                  </w:r>
                </w:p>
              </w:tc>
              <w:tc>
                <w:tcPr>
                  <w:tcW w:type="dxa" w:w="453"/>
                  <w:tcBorders>
                    <w:top w:val="none" w:color="000000" w:sz="4"/>
                    <w:left w:val="none" w:color="000000" w:sz="4"/>
                    <w:bottom w:val="single" w:color="000000" w:sz="4"/>
                    <w:right w:val="single" w:color="000000" w:sz="4"/>
                  </w:tcBorders>
                  <w:vAlign w:val="top"/>
                </w:tcPr>
                <w:p>
                  <w:pPr>
                    <w:jc w:val="both"/>
                  </w:pPr>
                  <w:r>
                    <w:rPr>
                      <w:sz w:val="21"/>
                    </w:rPr>
                    <w:t>6</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19</w:t>
                  </w:r>
                </w:p>
              </w:tc>
              <w:tc>
                <w:tcPr>
                  <w:tcW w:type="dxa" w:w="996"/>
                  <w:tcBorders>
                    <w:top w:val="none" w:color="000000" w:sz="4"/>
                    <w:left w:val="none" w:color="000000" w:sz="4"/>
                    <w:bottom w:val="single" w:color="000000" w:sz="4"/>
                    <w:right w:val="single" w:color="000000" w:sz="4"/>
                  </w:tcBorders>
                  <w:vAlign w:val="top"/>
                </w:tcPr>
                <w:p>
                  <w:pPr>
                    <w:jc w:val="both"/>
                  </w:pPr>
                  <w:r>
                    <w:rPr>
                      <w:sz w:val="21"/>
                    </w:rPr>
                    <w:t>300Y0118</w:t>
                  </w:r>
                </w:p>
              </w:tc>
              <w:tc>
                <w:tcPr>
                  <w:tcW w:type="dxa" w:w="1752"/>
                  <w:tcBorders>
                    <w:top w:val="none" w:color="000000" w:sz="4"/>
                    <w:left w:val="none" w:color="000000" w:sz="4"/>
                    <w:bottom w:val="single" w:color="000000" w:sz="4"/>
                    <w:right w:val="single" w:color="000000" w:sz="4"/>
                  </w:tcBorders>
                  <w:vAlign w:val="top"/>
                </w:tcPr>
                <w:p>
                  <w:pPr>
                    <w:jc w:val="both"/>
                  </w:pPr>
                  <w:r>
                    <w:rPr>
                      <w:sz w:val="21"/>
                    </w:rPr>
                    <w:t>中國評論</w:t>
                  </w:r>
                  <w:r>
                    <w:rPr>
                      <w:sz w:val="21"/>
                    </w:rPr>
                    <w:t>/China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《中国评论》</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中國評論文化有限公司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20</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340X0010</w:t>
                  </w:r>
                </w:p>
              </w:tc>
              <w:tc>
                <w:tcPr>
                  <w:tcW w:type="dxa" w:w="1752"/>
                  <w:tcBorders>
                    <w:top w:val="none" w:color="000000" w:sz="4"/>
                    <w:left w:val="none" w:color="000000" w:sz="4"/>
                    <w:bottom w:val="single" w:color="000000" w:sz="4"/>
                    <w:right w:val="single" w:color="000000" w:sz="4"/>
                  </w:tcBorders>
                  <w:vAlign w:val="top"/>
                </w:tcPr>
                <w:p>
                  <w:pPr>
                    <w:jc w:val="both"/>
                  </w:pPr>
                  <w:r>
                    <w:rPr>
                      <w:sz w:val="21"/>
                    </w:rPr>
                    <w:t>月旦法學</w:t>
                  </w:r>
                  <w:r>
                    <w:rPr>
                      <w:sz w:val="21"/>
                    </w:rPr>
                    <w:t>/The Taiwan Law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《月旦法学》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元照出版有限公司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21</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340X0011</w:t>
                  </w:r>
                </w:p>
              </w:tc>
              <w:tc>
                <w:tcPr>
                  <w:tcW w:type="dxa" w:w="1752"/>
                  <w:tcBorders>
                    <w:top w:val="none" w:color="000000" w:sz="4"/>
                    <w:left w:val="none" w:color="000000" w:sz="4"/>
                    <w:bottom w:val="single" w:color="000000" w:sz="4"/>
                    <w:right w:val="single" w:color="000000" w:sz="4"/>
                  </w:tcBorders>
                  <w:vAlign w:val="top"/>
                </w:tcPr>
                <w:p>
                  <w:pPr>
                    <w:jc w:val="both"/>
                  </w:pPr>
                  <w:r>
                    <w:rPr>
                      <w:sz w:val="21"/>
                    </w:rPr>
                    <w:t>法學叢刊</w:t>
                  </w:r>
                  <w:r>
                    <w:rPr>
                      <w:sz w:val="21"/>
                    </w:rPr>
                    <w:t>/China Law Journal.</w:t>
                  </w:r>
                </w:p>
              </w:tc>
              <w:tc>
                <w:tcPr>
                  <w:tcW w:type="dxa" w:w="996"/>
                  <w:tcBorders>
                    <w:top w:val="none" w:color="000000" w:sz="4"/>
                    <w:left w:val="none" w:color="000000" w:sz="4"/>
                    <w:bottom w:val="single" w:color="000000" w:sz="4"/>
                    <w:right w:val="single" w:color="000000" w:sz="4"/>
                  </w:tcBorders>
                  <w:vAlign w:val="top"/>
                </w:tcPr>
                <w:p>
                  <w:pPr>
                    <w:jc w:val="both"/>
                  </w:pPr>
                  <w:r>
                    <w:rPr>
                      <w:sz w:val="21"/>
                    </w:rPr>
                    <w:t>《法学丛刊》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法學叢刊雜誌社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22</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340X0049</w:t>
                  </w:r>
                </w:p>
              </w:tc>
              <w:tc>
                <w:tcPr>
                  <w:tcW w:type="dxa" w:w="1752"/>
                  <w:tcBorders>
                    <w:top w:val="none" w:color="000000" w:sz="4"/>
                    <w:left w:val="none" w:color="000000" w:sz="4"/>
                    <w:bottom w:val="single" w:color="000000" w:sz="4"/>
                    <w:right w:val="single" w:color="000000" w:sz="4"/>
                  </w:tcBorders>
                  <w:vAlign w:val="top"/>
                </w:tcPr>
                <w:p>
                  <w:pPr>
                    <w:jc w:val="both"/>
                  </w:pPr>
                  <w:r>
                    <w:rPr>
                      <w:sz w:val="21"/>
                    </w:rPr>
                    <w:t>月旦民商法雜誌</w:t>
                  </w:r>
                  <w:r>
                    <w:rPr>
                      <w:sz w:val="21"/>
                    </w:rPr>
                    <w:t>/Cross-Strait Law Review.</w:t>
                  </w:r>
                </w:p>
              </w:tc>
              <w:tc>
                <w:tcPr>
                  <w:tcW w:type="dxa" w:w="996"/>
                  <w:tcBorders>
                    <w:top w:val="none" w:color="000000" w:sz="4"/>
                    <w:left w:val="none" w:color="000000" w:sz="4"/>
                    <w:bottom w:val="single" w:color="000000" w:sz="4"/>
                    <w:right w:val="single" w:color="000000" w:sz="4"/>
                  </w:tcBorders>
                  <w:vAlign w:val="top"/>
                </w:tcPr>
                <w:p>
                  <w:pPr>
                    <w:jc w:val="both"/>
                  </w:pPr>
                  <w:r>
                    <w:rPr>
                      <w:sz w:val="21"/>
                    </w:rPr>
                    <w:t>《月旦民商法杂志》</w:t>
                  </w:r>
                </w:p>
              </w:tc>
              <w:tc>
                <w:tcPr>
                  <w:tcW w:type="dxa" w:w="1084"/>
                  <w:tcBorders>
                    <w:top w:val="none" w:color="000000" w:sz="4"/>
                    <w:left w:val="none" w:color="000000" w:sz="4"/>
                    <w:bottom w:val="single" w:color="000000" w:sz="4"/>
                    <w:right w:val="single" w:color="000000" w:sz="4"/>
                  </w:tcBorders>
                  <w:vAlign w:val="top"/>
                </w:tcPr>
                <w:p>
                  <w:pPr>
                    <w:jc w:val="both"/>
                  </w:pPr>
                  <w:r>
                    <w:rPr>
                      <w:sz w:val="21"/>
                    </w:rPr>
                    <w:t>元照出版有限公司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23</w:t>
                  </w:r>
                </w:p>
              </w:tc>
              <w:tc>
                <w:tcPr>
                  <w:tcW w:type="dxa" w:w="996"/>
                  <w:tcBorders>
                    <w:top w:val="none" w:color="000000" w:sz="4"/>
                    <w:left w:val="none" w:color="000000" w:sz="4"/>
                    <w:bottom w:val="single" w:color="000000" w:sz="4"/>
                    <w:right w:val="single" w:color="000000" w:sz="4"/>
                  </w:tcBorders>
                  <w:vAlign w:val="top"/>
                </w:tcPr>
                <w:p>
                  <w:pPr>
                    <w:jc w:val="both"/>
                  </w:pPr>
                  <w:r>
                    <w:rPr>
                      <w:sz w:val="21"/>
                    </w:rPr>
                    <w:t>340Y0003</w:t>
                  </w:r>
                </w:p>
              </w:tc>
              <w:tc>
                <w:tcPr>
                  <w:tcW w:type="dxa" w:w="1752"/>
                  <w:tcBorders>
                    <w:top w:val="none" w:color="000000" w:sz="4"/>
                    <w:left w:val="none" w:color="000000" w:sz="4"/>
                    <w:bottom w:val="single" w:color="000000" w:sz="4"/>
                    <w:right w:val="single" w:color="000000" w:sz="4"/>
                  </w:tcBorders>
                  <w:vAlign w:val="top"/>
                </w:tcPr>
                <w:p>
                  <w:pPr>
                    <w:jc w:val="both"/>
                  </w:pPr>
                  <w:r>
                    <w:rPr>
                      <w:sz w:val="21"/>
                    </w:rPr>
                    <w:t>Hong Kong Law Journal/</w:t>
                  </w:r>
                  <w:r>
                    <w:rPr>
                      <w:sz w:val="21"/>
                    </w:rPr>
                    <w:t>香港法律學刊</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《香港法律学刊》</w:t>
                  </w:r>
                </w:p>
              </w:tc>
              <w:tc>
                <w:tcPr>
                  <w:tcW w:type="dxa" w:w="1084"/>
                  <w:tcBorders>
                    <w:top w:val="none" w:color="000000" w:sz="4"/>
                    <w:left w:val="none" w:color="000000" w:sz="4"/>
                    <w:bottom w:val="single" w:color="000000" w:sz="4"/>
                    <w:right w:val="single" w:color="000000" w:sz="4"/>
                  </w:tcBorders>
                  <w:vAlign w:val="top"/>
                </w:tcPr>
                <w:p>
                  <w:pPr>
                    <w:jc w:val="both"/>
                  </w:pPr>
                  <w:r>
                    <w:rPr>
                      <w:sz w:val="21"/>
                    </w:rPr>
                    <w:t>Hong Kong Law Journal Ltd..</w:t>
                  </w:r>
                </w:p>
              </w:tc>
              <w:tc>
                <w:tcPr>
                  <w:tcW w:type="dxa" w:w="453"/>
                  <w:tcBorders>
                    <w:top w:val="none" w:color="000000" w:sz="4"/>
                    <w:left w:val="none" w:color="000000" w:sz="4"/>
                    <w:bottom w:val="single" w:color="000000" w:sz="4"/>
                    <w:right w:val="single" w:color="000000" w:sz="4"/>
                  </w:tcBorders>
                  <w:vAlign w:val="top"/>
                </w:tcPr>
                <w:p>
                  <w:pPr>
                    <w:jc w:val="both"/>
                  </w:pPr>
                  <w:r>
                    <w:rPr>
                      <w:sz w:val="21"/>
                    </w:rPr>
                    <w:t>3</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24</w:t>
                  </w:r>
                </w:p>
              </w:tc>
              <w:tc>
                <w:tcPr>
                  <w:tcW w:type="dxa" w:w="996"/>
                  <w:tcBorders>
                    <w:top w:val="none" w:color="000000" w:sz="4"/>
                    <w:left w:val="none" w:color="000000" w:sz="4"/>
                    <w:bottom w:val="single" w:color="000000" w:sz="4"/>
                    <w:right w:val="single" w:color="000000" w:sz="4"/>
                  </w:tcBorders>
                  <w:vAlign w:val="top"/>
                </w:tcPr>
                <w:p>
                  <w:pPr>
                    <w:jc w:val="both"/>
                  </w:pPr>
                  <w:r>
                    <w:rPr>
                      <w:sz w:val="21"/>
                    </w:rPr>
                    <w:t>373X0011</w:t>
                  </w:r>
                </w:p>
              </w:tc>
              <w:tc>
                <w:tcPr>
                  <w:tcW w:type="dxa" w:w="1752"/>
                  <w:tcBorders>
                    <w:top w:val="none" w:color="000000" w:sz="4"/>
                    <w:left w:val="none" w:color="000000" w:sz="4"/>
                    <w:bottom w:val="single" w:color="000000" w:sz="4"/>
                    <w:right w:val="single" w:color="000000" w:sz="4"/>
                  </w:tcBorders>
                  <w:vAlign w:val="top"/>
                </w:tcPr>
                <w:p>
                  <w:pPr>
                    <w:jc w:val="both"/>
                  </w:pPr>
                  <w:r>
                    <w:rPr>
                      <w:sz w:val="21"/>
                    </w:rPr>
                    <w:t>新聞學研究</w:t>
                  </w:r>
                  <w:r>
                    <w:rPr>
                      <w:sz w:val="21"/>
                    </w:rPr>
                    <w:t>/Mass Communications Research.</w:t>
                  </w:r>
                </w:p>
              </w:tc>
              <w:tc>
                <w:tcPr>
                  <w:tcW w:type="dxa" w:w="996"/>
                  <w:tcBorders>
                    <w:top w:val="none" w:color="000000" w:sz="4"/>
                    <w:left w:val="none" w:color="000000" w:sz="4"/>
                    <w:bottom w:val="single" w:color="000000" w:sz="4"/>
                    <w:right w:val="single" w:color="000000" w:sz="4"/>
                  </w:tcBorders>
                  <w:vAlign w:val="top"/>
                </w:tcPr>
                <w:p>
                  <w:pPr>
                    <w:jc w:val="both"/>
                  </w:pPr>
                  <w:r>
                    <w:rPr>
                      <w:sz w:val="21"/>
                    </w:rPr>
                    <w:t>《新闻学研究》</w:t>
                  </w:r>
                </w:p>
              </w:tc>
              <w:tc>
                <w:tcPr>
                  <w:tcW w:type="dxa" w:w="1084"/>
                  <w:tcBorders>
                    <w:top w:val="none" w:color="000000" w:sz="4"/>
                    <w:left w:val="none" w:color="000000" w:sz="4"/>
                    <w:bottom w:val="single" w:color="000000" w:sz="4"/>
                    <w:right w:val="single" w:color="000000" w:sz="4"/>
                  </w:tcBorders>
                  <w:vAlign w:val="top"/>
                </w:tcPr>
                <w:p>
                  <w:pPr>
                    <w:jc w:val="both"/>
                  </w:pPr>
                  <w:r>
                    <w:rPr>
                      <w:sz w:val="21"/>
                    </w:rPr>
                    <w:t>國立政治大學新聞系</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25</w:t>
                  </w:r>
                </w:p>
              </w:tc>
              <w:tc>
                <w:tcPr>
                  <w:tcW w:type="dxa" w:w="996"/>
                  <w:tcBorders>
                    <w:top w:val="none" w:color="000000" w:sz="4"/>
                    <w:left w:val="none" w:color="000000" w:sz="4"/>
                    <w:bottom w:val="single" w:color="000000" w:sz="4"/>
                    <w:right w:val="single" w:color="000000" w:sz="4"/>
                  </w:tcBorders>
                  <w:vAlign w:val="top"/>
                </w:tcPr>
                <w:p>
                  <w:pPr>
                    <w:jc w:val="both"/>
                  </w:pPr>
                  <w:r>
                    <w:rPr>
                      <w:sz w:val="21"/>
                    </w:rPr>
                    <w:t>377X0009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故宮文物月刊</w:t>
                  </w:r>
                  <w:r>
                    <w:rPr>
                      <w:sz w:val="21"/>
                    </w:rPr>
                    <w:t>/The National Palace Museum Monthly of Chinese Art.</w:t>
                  </w:r>
                </w:p>
              </w:tc>
              <w:tc>
                <w:tcPr>
                  <w:tcW w:type="dxa" w:w="996"/>
                  <w:tcBorders>
                    <w:top w:val="none" w:color="000000" w:sz="4"/>
                    <w:left w:val="none" w:color="000000" w:sz="4"/>
                    <w:bottom w:val="single" w:color="000000" w:sz="4"/>
                    <w:right w:val="single" w:color="000000" w:sz="4"/>
                  </w:tcBorders>
                  <w:vAlign w:val="top"/>
                </w:tcPr>
                <w:p>
                  <w:pPr>
                    <w:jc w:val="both"/>
                  </w:pPr>
                  <w:r>
                    <w:rPr>
                      <w:sz w:val="21"/>
                    </w:rPr>
                    <w:t>《故宫文物》</w:t>
                  </w:r>
                </w:p>
              </w:tc>
              <w:tc>
                <w:tcPr>
                  <w:tcW w:type="dxa" w:w="1084"/>
                  <w:tcBorders>
                    <w:top w:val="none" w:color="000000" w:sz="4"/>
                    <w:left w:val="none" w:color="000000" w:sz="4"/>
                    <w:bottom w:val="single" w:color="000000" w:sz="4"/>
                    <w:right w:val="single" w:color="000000" w:sz="4"/>
                  </w:tcBorders>
                  <w:vAlign w:val="top"/>
                </w:tcPr>
                <w:p>
                  <w:pPr>
                    <w:jc w:val="both"/>
                  </w:pPr>
                  <w:r>
                    <w:rPr>
                      <w:sz w:val="21"/>
                    </w:rPr>
                    <w:t>國立故宮博物院出版組</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26</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420X0005</w:t>
                  </w:r>
                </w:p>
              </w:tc>
              <w:tc>
                <w:tcPr>
                  <w:tcW w:type="dxa" w:w="1752"/>
                  <w:tcBorders>
                    <w:top w:val="none" w:color="000000" w:sz="4"/>
                    <w:left w:val="none" w:color="000000" w:sz="4"/>
                    <w:bottom w:val="single" w:color="000000" w:sz="4"/>
                    <w:right w:val="single" w:color="000000" w:sz="4"/>
                  </w:tcBorders>
                  <w:vAlign w:val="top"/>
                </w:tcPr>
                <w:p>
                  <w:pPr>
                    <w:jc w:val="both"/>
                  </w:pPr>
                  <w:r>
                    <w:rPr>
                      <w:sz w:val="21"/>
                    </w:rPr>
                    <w:t>中外文學</w:t>
                  </w:r>
                  <w:r>
                    <w:rPr>
                      <w:sz w:val="21"/>
                    </w:rPr>
                    <w:t>/Chung Wai Literary Quarterly.</w:t>
                  </w:r>
                </w:p>
              </w:tc>
              <w:tc>
                <w:tcPr>
                  <w:tcW w:type="dxa" w:w="996"/>
                  <w:tcBorders>
                    <w:top w:val="none" w:color="000000" w:sz="4"/>
                    <w:left w:val="none" w:color="000000" w:sz="4"/>
                    <w:bottom w:val="single" w:color="000000" w:sz="4"/>
                    <w:right w:val="single" w:color="000000" w:sz="4"/>
                  </w:tcBorders>
                  <w:vAlign w:val="top"/>
                </w:tcPr>
                <w:p>
                  <w:pPr>
                    <w:jc w:val="both"/>
                  </w:pPr>
                  <w:r>
                    <w:rPr>
                      <w:sz w:val="21"/>
                    </w:rPr>
                    <w:t>《中外文学》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中外文學月刊社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4</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27</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420X0039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幼狮文艺</w:t>
                  </w:r>
                  <w:r>
                    <w:rPr>
                      <w:sz w:val="21"/>
                    </w:rPr>
                    <w:t>.</w:t>
                  </w:r>
                </w:p>
              </w:tc>
              <w:tc>
                <w:tcPr>
                  <w:tcW w:type="dxa" w:w="996"/>
                  <w:tcBorders>
                    <w:top w:val="none" w:color="000000" w:sz="4"/>
                    <w:left w:val="none" w:color="000000" w:sz="4"/>
                    <w:bottom w:val="single" w:color="000000" w:sz="4"/>
                    <w:right w:val="single" w:color="000000" w:sz="4"/>
                  </w:tcBorders>
                  <w:vAlign w:val="top"/>
                </w:tcPr>
                <w:p>
                  <w:pPr>
                    <w:jc w:val="both"/>
                  </w:pPr>
                  <w:r>
                    <w:rPr>
                      <w:sz w:val="21"/>
                    </w:rPr>
                    <w:t>《幼狮文艺》</w:t>
                  </w:r>
                </w:p>
              </w:tc>
              <w:tc>
                <w:tcPr>
                  <w:tcW w:type="dxa" w:w="1084"/>
                  <w:tcBorders>
                    <w:top w:val="none" w:color="000000" w:sz="4"/>
                    <w:left w:val="none" w:color="000000" w:sz="4"/>
                    <w:bottom w:val="single" w:color="000000" w:sz="4"/>
                    <w:right w:val="single" w:color="000000" w:sz="4"/>
                  </w:tcBorders>
                  <w:vAlign w:val="top"/>
                </w:tcPr>
                <w:p>
                  <w:pPr>
                    <w:jc w:val="both"/>
                  </w:pPr>
                  <w:r>
                    <w:rPr>
                      <w:sz w:val="21"/>
                    </w:rPr>
                    <w:t>幼狮文化事业公司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28</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420X0040</w:t>
                  </w:r>
                </w:p>
              </w:tc>
              <w:tc>
                <w:tcPr>
                  <w:tcW w:type="dxa" w:w="1752"/>
                  <w:tcBorders>
                    <w:top w:val="none" w:color="000000" w:sz="4"/>
                    <w:left w:val="none" w:color="000000" w:sz="4"/>
                    <w:bottom w:val="single" w:color="000000" w:sz="4"/>
                    <w:right w:val="single" w:color="000000" w:sz="4"/>
                  </w:tcBorders>
                  <w:vAlign w:val="top"/>
                </w:tcPr>
                <w:p>
                  <w:pPr>
                    <w:jc w:val="both"/>
                  </w:pPr>
                  <w:r>
                    <w:rPr>
                      <w:sz w:val="21"/>
                    </w:rPr>
                    <w:t>皇冠</w:t>
                  </w:r>
                  <w:r>
                    <w:rPr>
                      <w:sz w:val="21"/>
                    </w:rPr>
                    <w:t>(</w:t>
                  </w:r>
                  <w:r>
                    <w:rPr>
                      <w:sz w:val="21"/>
                    </w:rPr>
                    <w:t>東南亞版</w:t>
                  </w:r>
                  <w:r>
                    <w:rPr>
                      <w:sz w:val="21"/>
                    </w:rPr>
                    <w:t>)/Grown.</w:t>
                  </w:r>
                </w:p>
              </w:tc>
              <w:tc>
                <w:tcPr>
                  <w:tcW w:type="dxa" w:w="996"/>
                  <w:tcBorders>
                    <w:top w:val="none" w:color="000000" w:sz="4"/>
                    <w:left w:val="none" w:color="000000" w:sz="4"/>
                    <w:bottom w:val="single" w:color="000000" w:sz="4"/>
                    <w:right w:val="single" w:color="000000" w:sz="4"/>
                  </w:tcBorders>
                  <w:vAlign w:val="top"/>
                </w:tcPr>
                <w:p>
                  <w:pPr>
                    <w:jc w:val="both"/>
                  </w:pPr>
                  <w:r>
                    <w:rPr>
                      <w:sz w:val="21"/>
                    </w:rPr>
                    <w:t>《皇冠》</w:t>
                  </w:r>
                </w:p>
              </w:tc>
              <w:tc>
                <w:tcPr>
                  <w:tcW w:type="dxa" w:w="1084"/>
                  <w:tcBorders>
                    <w:top w:val="none" w:color="000000" w:sz="4"/>
                    <w:left w:val="none" w:color="000000" w:sz="4"/>
                    <w:bottom w:val="single" w:color="000000" w:sz="4"/>
                    <w:right w:val="single" w:color="000000" w:sz="4"/>
                  </w:tcBorders>
                  <w:vAlign w:val="top"/>
                </w:tcPr>
                <w:p>
                  <w:pPr>
                    <w:jc w:val="both"/>
                  </w:pPr>
                  <w:r>
                    <w:rPr>
                      <w:sz w:val="21"/>
                    </w:rPr>
                    <w:t>皇冠雜誌社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29</w:t>
                  </w:r>
                </w:p>
              </w:tc>
              <w:tc>
                <w:tcPr>
                  <w:tcW w:type="dxa" w:w="996"/>
                  <w:tcBorders>
                    <w:top w:val="none" w:color="000000" w:sz="4"/>
                    <w:left w:val="none" w:color="000000" w:sz="4"/>
                    <w:bottom w:val="single" w:color="000000" w:sz="4"/>
                    <w:right w:val="single" w:color="000000" w:sz="4"/>
                  </w:tcBorders>
                  <w:vAlign w:val="top"/>
                </w:tcPr>
                <w:p>
                  <w:pPr>
                    <w:jc w:val="both"/>
                  </w:pPr>
                  <w:r>
                    <w:rPr>
                      <w:sz w:val="21"/>
                    </w:rPr>
                    <w:t>420X0055</w:t>
                  </w:r>
                </w:p>
              </w:tc>
              <w:tc>
                <w:tcPr>
                  <w:tcW w:type="dxa" w:w="1752"/>
                  <w:tcBorders>
                    <w:top w:val="none" w:color="000000" w:sz="4"/>
                    <w:left w:val="none" w:color="000000" w:sz="4"/>
                    <w:bottom w:val="single" w:color="000000" w:sz="4"/>
                    <w:right w:val="single" w:color="000000" w:sz="4"/>
                  </w:tcBorders>
                  <w:vAlign w:val="top"/>
                </w:tcPr>
                <w:p>
                  <w:pPr>
                    <w:jc w:val="both"/>
                  </w:pPr>
                  <w:r>
                    <w:rPr>
                      <w:sz w:val="21"/>
                    </w:rPr>
                    <w:t>聯合文學</w:t>
                  </w:r>
                  <w:r>
                    <w:rPr>
                      <w:sz w:val="21"/>
                    </w:rPr>
                    <w:t>/Unitas: Literary Monthly.</w:t>
                  </w:r>
                </w:p>
              </w:tc>
              <w:tc>
                <w:tcPr>
                  <w:tcW w:type="dxa" w:w="996"/>
                  <w:tcBorders>
                    <w:top w:val="none" w:color="000000" w:sz="4"/>
                    <w:left w:val="none" w:color="000000" w:sz="4"/>
                    <w:bottom w:val="single" w:color="000000" w:sz="4"/>
                    <w:right w:val="single" w:color="000000" w:sz="4"/>
                  </w:tcBorders>
                  <w:vAlign w:val="top"/>
                </w:tcPr>
                <w:p>
                  <w:pPr>
                    <w:jc w:val="both"/>
                  </w:pPr>
                  <w:r>
                    <w:rPr>
                      <w:sz w:val="21"/>
                    </w:rPr>
                    <w:t>《联合文学》</w:t>
                  </w:r>
                </w:p>
              </w:tc>
              <w:tc>
                <w:tcPr>
                  <w:tcW w:type="dxa" w:w="1084"/>
                  <w:tcBorders>
                    <w:top w:val="none" w:color="000000" w:sz="4"/>
                    <w:left w:val="none" w:color="000000" w:sz="4"/>
                    <w:bottom w:val="single" w:color="000000" w:sz="4"/>
                    <w:right w:val="single" w:color="000000" w:sz="4"/>
                  </w:tcBorders>
                  <w:vAlign w:val="top"/>
                </w:tcPr>
                <w:p>
                  <w:pPr>
                    <w:jc w:val="both"/>
                  </w:pPr>
                  <w:r>
                    <w:rPr>
                      <w:sz w:val="21"/>
                    </w:rPr>
                    <w:t>聯合文學出版社有限公司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30</w:t>
                  </w:r>
                </w:p>
              </w:tc>
              <w:tc>
                <w:tcPr>
                  <w:tcW w:type="dxa" w:w="996"/>
                  <w:tcBorders>
                    <w:top w:val="none" w:color="000000" w:sz="4"/>
                    <w:left w:val="none" w:color="000000" w:sz="4"/>
                    <w:bottom w:val="single" w:color="000000" w:sz="4"/>
                    <w:right w:val="single" w:color="000000" w:sz="4"/>
                  </w:tcBorders>
                  <w:vAlign w:val="top"/>
                </w:tcPr>
                <w:p>
                  <w:pPr>
                    <w:jc w:val="both"/>
                  </w:pPr>
                  <w:r>
                    <w:rPr>
                      <w:sz w:val="21"/>
                    </w:rPr>
                    <w:t>480X0004</w:t>
                  </w:r>
                </w:p>
              </w:tc>
              <w:tc>
                <w:tcPr>
                  <w:tcW w:type="dxa" w:w="1752"/>
                  <w:tcBorders>
                    <w:top w:val="none" w:color="000000" w:sz="4"/>
                    <w:left w:val="none" w:color="000000" w:sz="4"/>
                    <w:bottom w:val="single" w:color="000000" w:sz="4"/>
                    <w:right w:val="single" w:color="000000" w:sz="4"/>
                  </w:tcBorders>
                  <w:vAlign w:val="top"/>
                </w:tcPr>
                <w:p>
                  <w:pPr>
                    <w:jc w:val="both"/>
                  </w:pPr>
                  <w:r>
                    <w:rPr>
                      <w:sz w:val="21"/>
                    </w:rPr>
                    <w:t>藝術家</w:t>
                  </w:r>
                  <w:r>
                    <w:rPr>
                      <w:sz w:val="21"/>
                    </w:rPr>
                    <w:t>/Artist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《艺术家》</w:t>
                  </w:r>
                </w:p>
              </w:tc>
              <w:tc>
                <w:tcPr>
                  <w:tcW w:type="dxa" w:w="1084"/>
                  <w:tcBorders>
                    <w:top w:val="none" w:color="000000" w:sz="4"/>
                    <w:left w:val="none" w:color="000000" w:sz="4"/>
                    <w:bottom w:val="single" w:color="000000" w:sz="4"/>
                    <w:right w:val="single" w:color="000000" w:sz="4"/>
                  </w:tcBorders>
                  <w:vAlign w:val="top"/>
                </w:tcPr>
                <w:p>
                  <w:pPr>
                    <w:jc w:val="both"/>
                  </w:pPr>
                  <w:r>
                    <w:rPr>
                      <w:sz w:val="21"/>
                    </w:rPr>
                    <w:t>藝術家雜誌社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31</w:t>
                  </w:r>
                </w:p>
              </w:tc>
              <w:tc>
                <w:tcPr>
                  <w:tcW w:type="dxa" w:w="996"/>
                  <w:tcBorders>
                    <w:top w:val="none" w:color="000000" w:sz="4"/>
                    <w:left w:val="none" w:color="000000" w:sz="4"/>
                    <w:bottom w:val="single" w:color="000000" w:sz="4"/>
                    <w:right w:val="single" w:color="000000" w:sz="4"/>
                  </w:tcBorders>
                  <w:vAlign w:val="top"/>
                </w:tcPr>
                <w:p>
                  <w:pPr>
                    <w:jc w:val="both"/>
                  </w:pPr>
                  <w:r>
                    <w:rPr>
                      <w:sz w:val="21"/>
                    </w:rPr>
                    <w:t>480Y0001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號外</w:t>
                  </w:r>
                  <w:r>
                    <w:rPr>
                      <w:sz w:val="21"/>
                    </w:rPr>
                    <w:t>/City Magazine</w:t>
                  </w:r>
                </w:p>
              </w:tc>
              <w:tc>
                <w:tcPr>
                  <w:tcW w:type="dxa" w:w="996"/>
                  <w:tcBorders>
                    <w:top w:val="none" w:color="000000" w:sz="4"/>
                    <w:left w:val="none" w:color="000000" w:sz="4"/>
                    <w:bottom w:val="single" w:color="000000" w:sz="4"/>
                    <w:right w:val="single" w:color="000000" w:sz="4"/>
                  </w:tcBorders>
                  <w:vAlign w:val="top"/>
                </w:tcPr>
                <w:p>
                  <w:pPr>
                    <w:jc w:val="both"/>
                  </w:pPr>
                  <w:r>
                    <w:rPr>
                      <w:sz w:val="21"/>
                    </w:rPr>
                    <w:t>《号外》</w:t>
                  </w:r>
                </w:p>
              </w:tc>
              <w:tc>
                <w:tcPr>
                  <w:tcW w:type="dxa" w:w="1084"/>
                  <w:tcBorders>
                    <w:top w:val="none" w:color="000000" w:sz="4"/>
                    <w:left w:val="none" w:color="000000" w:sz="4"/>
                    <w:bottom w:val="single" w:color="000000" w:sz="4"/>
                    <w:right w:val="single" w:color="000000" w:sz="4"/>
                  </w:tcBorders>
                  <w:vAlign w:val="top"/>
                </w:tcPr>
                <w:p>
                  <w:pPr>
                    <w:jc w:val="both"/>
                  </w:pPr>
                  <w:r>
                    <w:rPr>
                      <w:sz w:val="21"/>
                    </w:rPr>
                    <w:t>City Howwhy Ltd.</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32</w:t>
                  </w:r>
                </w:p>
              </w:tc>
              <w:tc>
                <w:tcPr>
                  <w:tcW w:type="dxa" w:w="996"/>
                  <w:tcBorders>
                    <w:top w:val="none" w:color="000000" w:sz="4"/>
                    <w:left w:val="none" w:color="000000" w:sz="4"/>
                    <w:bottom w:val="single" w:color="000000" w:sz="4"/>
                    <w:right w:val="single" w:color="000000" w:sz="4"/>
                  </w:tcBorders>
                  <w:vAlign w:val="top"/>
                </w:tcPr>
                <w:p>
                  <w:pPr>
                    <w:jc w:val="both"/>
                  </w:pPr>
                  <w:r>
                    <w:rPr>
                      <w:sz w:val="21"/>
                    </w:rPr>
                    <w:t>710X0009</w:t>
                  </w:r>
                </w:p>
              </w:tc>
              <w:tc>
                <w:tcPr>
                  <w:tcW w:type="dxa" w:w="1752"/>
                  <w:tcBorders>
                    <w:top w:val="none" w:color="000000" w:sz="4"/>
                    <w:left w:val="none" w:color="000000" w:sz="4"/>
                    <w:bottom w:val="single" w:color="000000" w:sz="4"/>
                    <w:right w:val="single" w:color="000000" w:sz="4"/>
                  </w:tcBorders>
                  <w:vAlign w:val="top"/>
                </w:tcPr>
                <w:p>
                  <w:pPr>
                    <w:jc w:val="both"/>
                  </w:pPr>
                  <w:r>
                    <w:rPr>
                      <w:sz w:val="21"/>
                    </w:rPr>
                    <w:t>工業設計</w:t>
                  </w:r>
                  <w:r>
                    <w:rPr>
                      <w:sz w:val="21"/>
                    </w:rPr>
                    <w:t>/Industrial Design.</w:t>
                  </w:r>
                </w:p>
              </w:tc>
              <w:tc>
                <w:tcPr>
                  <w:tcW w:type="dxa" w:w="996"/>
                  <w:tcBorders>
                    <w:top w:val="none" w:color="000000" w:sz="4"/>
                    <w:left w:val="none" w:color="000000" w:sz="4"/>
                    <w:bottom w:val="single" w:color="000000" w:sz="4"/>
                    <w:right w:val="single" w:color="000000" w:sz="4"/>
                  </w:tcBorders>
                  <w:vAlign w:val="top"/>
                </w:tcPr>
                <w:p>
                  <w:pPr>
                    <w:jc w:val="both"/>
                  </w:pPr>
                  <w:r>
                    <w:rPr>
                      <w:sz w:val="21"/>
                    </w:rPr>
                    <w:t>《工业设计》</w:t>
                  </w:r>
                </w:p>
              </w:tc>
              <w:tc>
                <w:tcPr>
                  <w:tcW w:type="dxa" w:w="1084"/>
                  <w:tcBorders>
                    <w:top w:val="none" w:color="000000" w:sz="4"/>
                    <w:left w:val="none" w:color="000000" w:sz="4"/>
                    <w:bottom w:val="single" w:color="000000" w:sz="4"/>
                    <w:right w:val="single" w:color="000000" w:sz="4"/>
                  </w:tcBorders>
                  <w:vAlign w:val="top"/>
                </w:tcPr>
                <w:p>
                  <w:pPr>
                    <w:jc w:val="both"/>
                  </w:pPr>
                  <w:r>
                    <w:rPr>
                      <w:sz w:val="21"/>
                    </w:rPr>
                    <w:t>工業設計雜誌社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33</w:t>
                  </w:r>
                </w:p>
              </w:tc>
              <w:tc>
                <w:tcPr>
                  <w:tcW w:type="dxa" w:w="996"/>
                  <w:tcBorders>
                    <w:top w:val="none" w:color="000000" w:sz="4"/>
                    <w:left w:val="none" w:color="000000" w:sz="4"/>
                    <w:bottom w:val="single" w:color="000000" w:sz="4"/>
                    <w:right w:val="single" w:color="000000" w:sz="4"/>
                  </w:tcBorders>
                  <w:vAlign w:val="top"/>
                </w:tcPr>
                <w:p>
                  <w:pPr>
                    <w:jc w:val="both"/>
                  </w:pPr>
                  <w:r>
                    <w:rPr>
                      <w:sz w:val="21"/>
                    </w:rPr>
                    <w:t>858Y0025</w:t>
                  </w:r>
                </w:p>
              </w:tc>
              <w:tc>
                <w:tcPr>
                  <w:tcW w:type="dxa" w:w="1752"/>
                  <w:tcBorders>
                    <w:top w:val="none" w:color="000000" w:sz="4"/>
                    <w:left w:val="none" w:color="000000" w:sz="4"/>
                    <w:bottom w:val="single" w:color="000000" w:sz="4"/>
                    <w:right w:val="single" w:color="000000" w:sz="4"/>
                  </w:tcBorders>
                  <w:vAlign w:val="top"/>
                </w:tcPr>
                <w:p>
                  <w:pPr>
                    <w:jc w:val="both"/>
                  </w:pPr>
                  <w:r>
                    <w:rPr>
                      <w:sz w:val="21"/>
                    </w:rPr>
                    <w:t>她</w:t>
                  </w:r>
                  <w:r>
                    <w:rPr>
                      <w:sz w:val="21"/>
                    </w:rPr>
                    <w:t>/Elle.</w:t>
                  </w:r>
                </w:p>
              </w:tc>
              <w:tc>
                <w:tcPr>
                  <w:tcW w:type="dxa" w:w="996"/>
                  <w:tcBorders>
                    <w:top w:val="none" w:color="000000" w:sz="4"/>
                    <w:left w:val="none" w:color="000000" w:sz="4"/>
                    <w:bottom w:val="single" w:color="000000" w:sz="4"/>
                    <w:right w:val="single" w:color="000000" w:sz="4"/>
                  </w:tcBorders>
                  <w:vAlign w:val="top"/>
                </w:tcPr>
                <w:p>
                  <w:pPr>
                    <w:jc w:val="both"/>
                  </w:pPr>
                  <w:r>
                    <w:rPr>
                      <w:sz w:val="21"/>
                    </w:rPr>
                    <w:t>《她》</w:t>
                  </w:r>
                </w:p>
              </w:tc>
              <w:tc>
                <w:tcPr>
                  <w:tcW w:type="dxa" w:w="1084"/>
                  <w:tcBorders>
                    <w:top w:val="none" w:color="000000" w:sz="4"/>
                    <w:left w:val="none" w:color="000000" w:sz="4"/>
                    <w:bottom w:val="single" w:color="000000" w:sz="4"/>
                    <w:right w:val="single" w:color="000000" w:sz="4"/>
                  </w:tcBorders>
                  <w:vAlign w:val="top"/>
                </w:tcPr>
                <w:p>
                  <w:pPr>
                    <w:jc w:val="both"/>
                  </w:pPr>
                  <w:r>
                    <w:rPr>
                      <w:sz w:val="21"/>
                    </w:rPr>
                    <w:t>Hachette Filipacchi Hong Kong Ltd..</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34</w:t>
                  </w:r>
                </w:p>
              </w:tc>
              <w:tc>
                <w:tcPr>
                  <w:tcW w:type="dxa" w:w="996"/>
                  <w:tcBorders>
                    <w:top w:val="none" w:color="000000" w:sz="4"/>
                    <w:left w:val="none" w:color="000000" w:sz="4"/>
                    <w:bottom w:val="single" w:color="000000" w:sz="4"/>
                    <w:right w:val="single" w:color="000000" w:sz="4"/>
                  </w:tcBorders>
                  <w:vAlign w:val="top"/>
                </w:tcPr>
                <w:p>
                  <w:pPr>
                    <w:jc w:val="both"/>
                  </w:pPr>
                  <w:r>
                    <w:rPr>
                      <w:sz w:val="21"/>
                    </w:rPr>
                    <w:t>862Y0002</w:t>
                  </w:r>
                </w:p>
              </w:tc>
              <w:tc>
                <w:tcPr>
                  <w:tcW w:type="dxa" w:w="1752"/>
                  <w:tcBorders>
                    <w:top w:val="none" w:color="000000" w:sz="4"/>
                    <w:left w:val="none" w:color="000000" w:sz="4"/>
                    <w:bottom w:val="single" w:color="000000" w:sz="4"/>
                    <w:right w:val="single" w:color="000000" w:sz="4"/>
                  </w:tcBorders>
                  <w:vAlign w:val="top"/>
                </w:tcPr>
                <w:p>
                  <w:pPr>
                    <w:jc w:val="both"/>
                  </w:pPr>
                  <w:r>
                    <w:rPr>
                      <w:sz w:val="21"/>
                    </w:rPr>
                    <w:t>摩登家庭</w:t>
                  </w:r>
                  <w:r>
                    <w:rPr>
                      <w:sz w:val="21"/>
                    </w:rPr>
                    <w:t>/Modern Home.</w:t>
                  </w:r>
                </w:p>
              </w:tc>
              <w:tc>
                <w:tcPr>
                  <w:tcW w:type="dxa" w:w="996"/>
                  <w:tcBorders>
                    <w:top w:val="none" w:color="000000" w:sz="4"/>
                    <w:left w:val="none" w:color="000000" w:sz="4"/>
                    <w:bottom w:val="single" w:color="000000" w:sz="4"/>
                    <w:right w:val="single" w:color="000000" w:sz="4"/>
                  </w:tcBorders>
                  <w:vAlign w:val="top"/>
                </w:tcPr>
                <w:p>
                  <w:pPr>
                    <w:jc w:val="both"/>
                  </w:pPr>
                  <w:r>
                    <w:rPr>
                      <w:sz w:val="21"/>
                    </w:rPr>
                    <w:t>《摩登家庭》</w:t>
                  </w:r>
                </w:p>
              </w:tc>
              <w:tc>
                <w:tcPr>
                  <w:tcW w:type="dxa" w:w="1084"/>
                  <w:tcBorders>
                    <w:top w:val="none" w:color="000000" w:sz="4"/>
                    <w:left w:val="none" w:color="000000" w:sz="4"/>
                    <w:bottom w:val="single" w:color="000000" w:sz="4"/>
                    <w:right w:val="single" w:color="000000" w:sz="4"/>
                  </w:tcBorders>
                  <w:vAlign w:val="top"/>
                </w:tcPr>
                <w:p>
                  <w:pPr>
                    <w:jc w:val="both"/>
                  </w:pPr>
                  <w:r>
                    <w:rPr>
                      <w:sz w:val="21"/>
                    </w:rPr>
                    <w:t>姊妹出版有限公司</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35</w:t>
                  </w:r>
                </w:p>
              </w:tc>
              <w:tc>
                <w:tcPr>
                  <w:tcW w:type="dxa" w:w="996"/>
                  <w:tcBorders>
                    <w:top w:val="none" w:color="000000" w:sz="4"/>
                    <w:left w:val="none" w:color="000000" w:sz="4"/>
                    <w:bottom w:val="single" w:color="000000" w:sz="4"/>
                    <w:right w:val="single" w:color="000000" w:sz="4"/>
                  </w:tcBorders>
                  <w:vAlign w:val="top"/>
                </w:tcPr>
                <w:p>
                  <w:pPr>
                    <w:jc w:val="both"/>
                  </w:pPr>
                  <w:r>
                    <w:rPr>
                      <w:sz w:val="21"/>
                    </w:rPr>
                    <w:t>863X0001</w:t>
                  </w:r>
                </w:p>
              </w:tc>
              <w:tc>
                <w:tcPr>
                  <w:tcW w:type="dxa" w:w="1752"/>
                  <w:tcBorders>
                    <w:top w:val="none" w:color="000000" w:sz="4"/>
                    <w:left w:val="none" w:color="000000" w:sz="4"/>
                    <w:bottom w:val="single" w:color="000000" w:sz="4"/>
                    <w:right w:val="single" w:color="000000" w:sz="4"/>
                  </w:tcBorders>
                  <w:vAlign w:val="top"/>
                </w:tcPr>
                <w:p>
                  <w:pPr>
                    <w:jc w:val="both"/>
                  </w:pPr>
                  <w:r>
                    <w:rPr>
                      <w:sz w:val="21"/>
                    </w:rPr>
                    <w:t>建築師</w:t>
                  </w:r>
                  <w:r>
                    <w:rPr>
                      <w:sz w:val="21"/>
                    </w:rPr>
                    <w:t>/Taiwan Architect.</w:t>
                  </w:r>
                </w:p>
              </w:tc>
              <w:tc>
                <w:tcPr>
                  <w:tcW w:type="dxa" w:w="996"/>
                  <w:tcBorders>
                    <w:top w:val="none" w:color="000000" w:sz="4"/>
                    <w:left w:val="none" w:color="000000" w:sz="4"/>
                    <w:bottom w:val="single" w:color="000000" w:sz="4"/>
                    <w:right w:val="single" w:color="000000" w:sz="4"/>
                  </w:tcBorders>
                  <w:vAlign w:val="top"/>
                </w:tcPr>
                <w:p>
                  <w:pPr>
                    <w:jc w:val="both"/>
                  </w:pPr>
                  <w:r>
                    <w:rPr>
                      <w:sz w:val="21"/>
                    </w:rPr>
                    <w:t>《建筑师》</w:t>
                  </w:r>
                </w:p>
              </w:tc>
              <w:tc>
                <w:tcPr>
                  <w:tcW w:type="dxa" w:w="1084"/>
                  <w:tcBorders>
                    <w:top w:val="none" w:color="000000" w:sz="4"/>
                    <w:left w:val="none" w:color="000000" w:sz="4"/>
                    <w:bottom w:val="single" w:color="000000" w:sz="4"/>
                    <w:right w:val="single" w:color="000000" w:sz="4"/>
                  </w:tcBorders>
                  <w:vAlign w:val="top"/>
                </w:tcPr>
                <w:p>
                  <w:pPr>
                    <w:jc w:val="both"/>
                  </w:pPr>
                  <w:r>
                    <w:rPr>
                      <w:sz w:val="21"/>
                    </w:rPr>
                    <w:t>中華民國建築師公會全國聯合會雜誌社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r>
              <w:tc>
                <w:tcPr>
                  <w:tcW w:type="dxa" w:w="277"/>
                  <w:tcBorders>
                    <w:top w:val="none" w:color="000000" w:sz="4"/>
                    <w:left w:val="single" w:color="000000" w:sz="4"/>
                    <w:bottom w:val="single" w:color="000000" w:sz="4"/>
                    <w:right w:val="single" w:color="000000" w:sz="4"/>
                  </w:tcBorders>
                  <w:vAlign w:val="top"/>
                </w:tcPr>
                <w:p>
                  <w:pPr>
                    <w:jc w:val="both"/>
                  </w:pPr>
                  <w:r>
                    <w:rPr>
                      <w:sz w:val="21"/>
                    </w:rPr>
                    <w:t>36</w:t>
                  </w:r>
                </w:p>
              </w:tc>
              <w:tc>
                <w:tcPr>
                  <w:tcW w:type="dxa" w:w="996"/>
                  <w:tcBorders>
                    <w:top w:val="none" w:color="000000" w:sz="4"/>
                    <w:left w:val="none" w:color="000000" w:sz="4"/>
                    <w:bottom w:val="single" w:color="000000" w:sz="4"/>
                    <w:right w:val="single" w:color="000000" w:sz="4"/>
                  </w:tcBorders>
                  <w:vAlign w:val="top"/>
                </w:tcPr>
                <w:p>
                  <w:pPr>
                    <w:jc w:val="both"/>
                  </w:pPr>
                  <w:r>
                    <w:rPr>
                      <w:sz w:val="21"/>
                    </w:rPr>
                    <w:t>379X0075</w:t>
                  </w:r>
                </w:p>
              </w:tc>
              <w:tc>
                <w:tcPr>
                  <w:tcW w:type="dxa" w:w="1752"/>
                  <w:tcBorders>
                    <w:top w:val="none" w:color="000000" w:sz="4"/>
                    <w:left w:val="none" w:color="000000" w:sz="4"/>
                    <w:bottom w:val="single" w:color="000000" w:sz="4"/>
                    <w:right w:val="single" w:color="000000" w:sz="4"/>
                  </w:tcBorders>
                  <w:vAlign w:val="top"/>
                </w:tcPr>
                <w:p>
                  <w:pPr>
                    <w:jc w:val="both"/>
                  </w:pPr>
                  <w:r>
                    <w:rPr>
                      <w:sz w:val="21"/>
                    </w:rPr>
                    <w:t>藝術收藏＋設計</w:t>
                  </w:r>
                  <w:r>
                    <w:rPr>
                      <w:sz w:val="21"/>
                    </w:rPr>
                    <w:t>ART COLLECTION</w:t>
                  </w:r>
                  <w:r>
                    <w:rPr>
                      <w:sz w:val="21"/>
                    </w:rPr>
                    <w:t>＋</w:t>
                  </w:r>
                  <w:r>
                    <w:rPr>
                      <w:sz w:val="21"/>
                    </w:rPr>
                    <w:t>DESIGN</w:t>
                  </w:r>
                </w:p>
              </w:tc>
              <w:tc>
                <w:tcPr>
                  <w:tcW w:type="dxa" w:w="996"/>
                  <w:tcBorders>
                    <w:top w:val="none" w:color="000000" w:sz="4"/>
                    <w:left w:val="none" w:color="000000" w:sz="4"/>
                    <w:bottom w:val="single" w:color="000000" w:sz="4"/>
                    <w:right w:val="single" w:color="000000" w:sz="4"/>
                  </w:tcBorders>
                  <w:vAlign w:val="top"/>
                </w:tcPr>
                <w:p>
                  <w:pPr>
                    <w:jc w:val="both"/>
                  </w:pPr>
                  <w:r>
                    <w:rPr>
                      <w:sz w:val="21"/>
                    </w:rPr>
                    <w:t>《艺术收藏</w:t>
                  </w:r>
                  <w:r>
                    <w:rPr>
                      <w:sz w:val="21"/>
                    </w:rPr>
                    <w:t>+</w:t>
                  </w:r>
                  <w:r>
                    <w:rPr>
                      <w:sz w:val="21"/>
                    </w:rPr>
                    <w:t>设计》</w:t>
                  </w:r>
                </w:p>
              </w:tc>
              <w:tc>
                <w:tcPr>
                  <w:tcW w:type="dxa" w:w="1084"/>
                  <w:tcBorders>
                    <w:top w:val="none" w:color="000000" w:sz="4"/>
                    <w:left w:val="none" w:color="000000" w:sz="4"/>
                    <w:bottom w:val="single" w:color="000000" w:sz="4"/>
                    <w:right w:val="single" w:color="000000" w:sz="4"/>
                  </w:tcBorders>
                  <w:vAlign w:val="top"/>
                </w:tcPr>
                <w:p>
                  <w:pPr>
                    <w:jc w:val="both"/>
                  </w:pPr>
                  <w:r>
                    <w:rPr>
                      <w:sz w:val="21"/>
                    </w:rPr>
                    <w:t>藝術家雜誌社</w:t>
                  </w:r>
                  <w:r>
                    <w:rPr>
                      <w:sz w:val="21"/>
                    </w:rPr>
                    <w:t>.</w:t>
                  </w:r>
                </w:p>
              </w:tc>
              <w:tc>
                <w:tcPr>
                  <w:tcW w:type="dxa" w:w="453"/>
                  <w:tcBorders>
                    <w:top w:val="none" w:color="000000" w:sz="4"/>
                    <w:left w:val="none" w:color="000000" w:sz="4"/>
                    <w:bottom w:val="single" w:color="000000" w:sz="4"/>
                    <w:right w:val="single" w:color="000000" w:sz="4"/>
                  </w:tcBorders>
                  <w:vAlign w:val="top"/>
                </w:tcPr>
                <w:p>
                  <w:pPr>
                    <w:jc w:val="both"/>
                  </w:pPr>
                  <w:r>
                    <w:rPr>
                      <w:sz w:val="21"/>
                    </w:rPr>
                    <w:t>12</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2</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tc>
      </w:tr>
      <w:tr>
        <w:tc>
          <w:tcPr>
            <w:tcW w:type="dxa" w:w="1051"/>
          </w:tcPr>
          <w:p>
            <w:r>
              <w:rPr/>
              <w:t>5</w:t>
            </w:r>
          </w:p>
        </w:tc>
        <w:tc>
          <w:tcPr>
            <w:tcW w:type="dxa" w:w="2252"/>
          </w:tcPr>
          <w:p>
            <w:r>
              <w:rPr/>
              <w:t>报价形式</w:t>
            </w:r>
          </w:p>
        </w:tc>
        <w:tc>
          <w:tcPr>
            <w:tcW w:type="dxa" w:w="5004"/>
          </w:tcPr>
          <w:p/>
          <w:p>
            <w:r>
              <w:rPr/>
              <w:t>采购包1：投标综合折扣率</w:t>
            </w:r>
          </w:p>
          <w:p/>
          <w:p>
            <w:r>
              <w:rPr/>
              <w:t>采购包2：投标综合折扣率</w:t>
            </w:r>
          </w:p>
        </w:tc>
      </w:tr>
      <w:tr>
        <w:tc>
          <w:tcPr>
            <w:tcW w:type="dxa" w:w="1051"/>
          </w:tcPr>
          <w:p>
            <w:r>
              <w:rPr/>
              <w:t>6</w:t>
            </w:r>
          </w:p>
        </w:tc>
        <w:tc>
          <w:tcPr>
            <w:tcW w:type="dxa" w:w="2252"/>
          </w:tcPr>
          <w:p>
            <w:r>
              <w:rPr/>
              <w:t>报价要求</w:t>
            </w:r>
          </w:p>
        </w:tc>
        <w:tc>
          <w:tcPr>
            <w:tcW w:type="dxa" w:w="5004"/>
          </w:tcPr>
          <w:p/>
          <w:p>
            <w:r>
              <w:rPr/>
              <w:t>采购包1：0% - 90%</w:t>
            </w:r>
          </w:p>
          <w:p/>
          <w:p>
            <w:r>
              <w:rPr/>
              <w:t>采购包2：0% - 94%</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无：本项目可兼投兼中。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各采购包中标金额为计算基数《广东省物价局粤价函〔2013〕1233号》规定的标准费率下浮20%收取。招标代理服务费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p>
            <w:pPr>
              <w:jc w:val="left"/>
            </w:pPr>
            <w:r>
              <w:rPr/>
              <w:t>采购包2：非专门面向中小企业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郑淇筠、陈奕宇</w:t>
      </w:r>
    </w:p>
    <w:p>
      <w:pPr>
        <w:ind w:firstLine="480"/>
      </w:pPr>
      <w:r>
        <w:rPr/>
        <w:t>电话：</w:t>
      </w:r>
      <w:r>
        <w:rPr/>
        <w:t>0754-87230486</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采购包1(原版外文及港台图书)：综合评分法,是指投标文件满足招标文件全部实质性要求，且按照评审因素的量化指标评审得分最高的投标人为中标候选人的评标方法。（最低报价不是中标的唯一依据。）</w:t>
      </w:r>
    </w:p>
    <w:p/>
    <w:p>
      <w:r>
        <w:rPr/>
        <w:t>采购包2(原版外文及港台期刊)：综合评分法,是指投标文件满足招标文件全部实质性要求，且按照评审因素的量化指标评审得分最高的投标人为中标候选人的评标方法。（最低报价不是中标的唯一依据。）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采购包1（原版外文及港台图书）：</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r>
        <w:rPr/>
        <w:t>采购包2（原版外文及港台期刊）：</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581"/>
          </w:tcPr>
          <w:p>
            <w:r>
              <w:rPr/>
              <w:t>2</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1、根据财政部、工业和信息化部印发的《政府采购促进中小企业发展管理办法》（财库〔2020〕46号）及相关规定，不专门面向中小企业采购的采购项目或者采购包，除执行国家统一定价标准和实行固定价格采购外，对符合该办法规定的小微企业报价给予P1（货物、服务项目P1的取值为10%，工程项目P1的取值为5%）的扣除，用扣除后的价格参与评审。适用招标投标法的政府采购工程建设项目，采用综合评估法但未采用低价优先法计算价格分的，评标时应当在采用原报价进行评分的基础上，原则上按5%增加其价格得分。 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负责人，是指单位法定代表人或者法律、行政法规规定代表单位行使职权的主要负责人；控股，是指出资额占有限责任公司资本总额50%以上或者其持有的股份占股份有限公司股本总额50%以上的，以及出资额或者持有股份的比例虽然不足50%，但依其出资额或者持有的股份所享有的表决权已足以对股东会、股东大会的决议产生重大影响的；管理关系，是指与不具有出资持股关系的其他单位之间存在的管理与被管理关系。 事业单位、社会组织等非企业主体不享受中小企业扶持政策，但事业单位、社会组织等非企业主体提供全部由中小企业制造的货物参加货物采购项目的除外。事业单位直接控股和管理的企业，依据中小企业划型标准认定其企业类型；符合中小企业划分标准的个体工商户，在政府采购活动中视同中小企业。 3、在政府采购活动中，供应商提供的货物、工程或者服务符合下列情形的，享受中小企业扶持政策： （1）符合《工业和信息化部、国家统计局、国家发展和改革委员会、财政部关于印发中小企业划型标准规定的通知》（工信部联企业[2011]300号）规定的划分标准； （2）在货物采购项目中，货物由中小企业制造，即货物由中小企业生产且使用该中小企业商号或者注册商标，不对供应商主体类型作任何限制要求； （3）在工程采购项目中，工程由中小企业承建，即工程施工单位为中小企业； （4）在服务采购项目中，服务由中小企业承接，即提供服务的人员为中小企业依照《中华人民共和国劳动合同法》订立劳动合同的从业人员。 （5）在货物采购项目中，供应商提供的货物既有中小企业制造货物，也有大型企业制造货物的，不享受本办法规定的中小企业扶持政策。 4、在本项目政府采购活动中，对符合《政府采购促进中小企业发展管理办法》规定的小微企业报价给予一定比例的扣除，用扣除后的价格参加评审。具体扣除办法如下： 投标人提供的货物全部由符合政策要求的小型或微型企业制造（工程的施工单位全部为符合政策要求的小型、微型企业，或者服务全部由符合政策要求的小型、微型企业承接），对投标人（响应供应商）的报价给予P1的价格扣除，即：评标价＝投标价×（1-P1）。 5、参加本项目投标的小型和微型企业应当提供《中小企业声明函》，否则不得享受相关中小企业扶持政策。新成立企业无上一年度相关数据的，根据其出具的《中小企业声明函》认可其为中小企业。采购代理机构、评标委员会在依法进行资格审查、评审过程中，发现《中小企业声明函》存在明显笔误或者含义不明确的，按照政府采购相关规定要求供应商进行澄清、说明或补正。澄清、说明或补正后符合中小企业条件的供应商，可以享受中小企业扶持政策。中标、成交供应商享受中小企业扶持政策的，随中标、成交结果公开中标、成交供应商的《中小企业声明函》。供应商提供《中小企业声明函》内容不实的，属于提供虚假材料谋取中标、成交，依照《中华人民共和国政府采购法》等国家有关规定追究相应责任。 6、监狱企业参加政府采购活动时，应当提供由省级以上监狱管理局、戒毒管理局(含新疆生产建设兵团)出具的属于监狱企业的证明文件。 7、根据《关于促进残疾人就业政府采购政策的通知(财库〔2017〕141号)》，残疾人福利性单位参加政府采购活动时，应当提供《残疾人福利性单位声明函》，并对声明的真实性负责。残疾人福利性单位属于小型、微型企业的，不重复享受政策。</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采购包1（原版外文及港台图书）：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特定资格要求</w:t>
            </w:r>
          </w:p>
        </w:tc>
        <w:tc>
          <w:tcPr>
            <w:tcW w:type="dxa" w:w="4238"/>
          </w:tcPr>
          <w:p>
            <w:r>
              <w:rPr/>
              <w:t>投标人具有在有效的《中华人民共和国出版物经营许可证》和《中华人民共和国出版物进口经营许可证》。</w:t>
            </w:r>
          </w:p>
        </w:tc>
      </w:tr>
      <w:tr>
        <w:tc>
          <w:tcPr>
            <w:tcW w:type="dxa" w:w="890"/>
          </w:tcPr>
          <w:p>
            <w:r>
              <w:rPr/>
              <w:t>10</w:t>
            </w:r>
          </w:p>
        </w:tc>
        <w:tc>
          <w:tcPr>
            <w:tcW w:type="dxa" w:w="3178"/>
          </w:tcPr>
          <w:p>
            <w:r>
              <w:rPr/>
              <w:t>落实政府采购政策需满足的资格要求</w:t>
            </w:r>
          </w:p>
        </w:tc>
        <w:tc>
          <w:tcPr>
            <w:tcW w:type="dxa" w:w="4238"/>
          </w:tcPr>
          <w:p>
            <w:r>
              <w:rPr/>
              <w:t>本采购包整体不专门面向中小企业。</w:t>
            </w:r>
          </w:p>
        </w:tc>
      </w:tr>
    </w:tbl>
    <w:p/>
    <w:p>
      <w:r>
        <w:rPr/>
        <w:t>采购包2（原版外文及港台期刊）：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供应商必须具有良好的商业信誉和健全的财务会计制度（提供2022年度财务状况报告或2023年至今任意1个月的财务状况报告复印件或基本开户行出具的资信证明）。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特定资格要求</w:t>
            </w:r>
          </w:p>
        </w:tc>
        <w:tc>
          <w:tcPr>
            <w:tcW w:type="dxa" w:w="4238"/>
          </w:tcPr>
          <w:p>
            <w:r>
              <w:rPr/>
              <w:t>投标人具有在有效的《中华人民共和国出版物经营许可证》和《中华人民共和国出版物进口经营许可证》。</w:t>
            </w:r>
          </w:p>
        </w:tc>
      </w:tr>
      <w:tr>
        <w:tc>
          <w:tcPr>
            <w:tcW w:type="dxa" w:w="890"/>
          </w:tcPr>
          <w:p>
            <w:r>
              <w:rPr/>
              <w:t>10</w:t>
            </w:r>
          </w:p>
        </w:tc>
        <w:tc>
          <w:tcPr>
            <w:tcW w:type="dxa" w:w="3178"/>
          </w:tcPr>
          <w:p>
            <w:r>
              <w:rPr/>
              <w:t>落实政府采购政策需满足的资格要求</w:t>
            </w:r>
          </w:p>
        </w:tc>
        <w:tc>
          <w:tcPr>
            <w:tcW w:type="dxa" w:w="4238"/>
          </w:tcPr>
          <w:p>
            <w:r>
              <w:rPr/>
              <w:t>本采购包整体不专门面向中小企业。</w:t>
            </w:r>
          </w:p>
        </w:tc>
      </w:tr>
    </w:tbl>
    <w:p/>
    <w:p>
      <w:pPr>
        <w:ind w:firstLine="480"/>
      </w:pPr>
      <w:r>
        <w:rPr/>
        <w:t>表二符合性审查表：</w:t>
      </w:r>
    </w:p>
    <w:p>
      <w:pPr>
        <w:ind w:firstLine="480"/>
      </w:pPr>
    </w:p>
    <w:p/>
    <w:p>
      <w:r>
        <w:rPr/>
        <w:t>采购包1（原版外文及港台图书）：</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投标综合折扣率是固定唯一，且0%＜投标综合折扣率。报价区间要求：采购包1：原版外文及港台图书的折扣率为0%-90%。</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t>采购包2（原版外文及港台期刊）：</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投标综合折扣率是固定唯一，且0%＜投标综合折扣率。报价区间要求：采购包2：原版外文及港台期刊的折扣率为0%-94%。</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采购包1(原版外文及港台图书):</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图书质量保证措施（一） (3.0分)</w:t>
            </w:r>
          </w:p>
        </w:tc>
        <w:tc>
          <w:tcPr>
            <w:tcW w:type="dxa" w:w="5076"/>
          </w:tcPr>
          <w:p>
            <w:pPr>
              <w:jc w:val="left"/>
            </w:pPr>
            <w:r>
              <w:rPr/>
              <w:t>评标委员会根据投标人提供的图书质量保证措施进行评审，方案应包括（投标文件中方案标题应以下列方案名称命名）： （1）供货承诺情况； （2）退换承诺情况； （3）质量保证措施。 提供全部内容得3分，每缺1项扣1分。</w:t>
            </w:r>
          </w:p>
        </w:tc>
      </w:tr>
      <w:tr>
        <w:tc>
          <w:tcPr>
            <w:tcW w:type="dxa" w:w="922"/>
            <w:gridSpan w:val="2"/>
            <w:vMerge/>
          </w:tcPr>
          <w:p/>
        </w:tc>
        <w:tc>
          <w:tcPr>
            <w:tcW w:type="dxa" w:w="2307"/>
          </w:tcPr>
          <w:p>
            <w:pPr>
              <w:jc w:val="left"/>
            </w:pPr>
            <w:r>
              <w:rPr/>
              <w:t>图书质量保证措施（二） (9.0分)</w:t>
            </w:r>
          </w:p>
        </w:tc>
        <w:tc>
          <w:tcPr>
            <w:tcW w:type="dxa" w:w="5076"/>
          </w:tcPr>
          <w:p>
            <w:pPr>
              <w:jc w:val="left"/>
            </w:pPr>
            <w:r>
              <w:rPr/>
              <w:t>根据各投标人提供的图书质量保证措施（一）进行综合评价： （1）投标人提供保证正版图书的承诺函（并承诺杜绝提供其他非法、盗版图书），有承诺不符合质量及采购人要求提供无条件退换的，得3分，不提供或承诺内容不完整的得0分； （2）投标人承诺图书有防水及防潮包装的：有得3分，不提供或承诺内容不完整的得0分；（承诺函中需提供图书防水及防潮包装的图片） （3）投标人承诺（无条件送货、按时、准确）及提供到货清单和未到货清单服务等，有得3分，不提供或承诺内容不完整的得0分。</w:t>
            </w:r>
          </w:p>
        </w:tc>
      </w:tr>
      <w:tr>
        <w:tc>
          <w:tcPr>
            <w:tcW w:type="dxa" w:w="922"/>
            <w:gridSpan w:val="2"/>
            <w:vMerge/>
          </w:tcPr>
          <w:p/>
        </w:tc>
        <w:tc>
          <w:tcPr>
            <w:tcW w:type="dxa" w:w="2307"/>
          </w:tcPr>
          <w:p>
            <w:pPr>
              <w:jc w:val="left"/>
            </w:pPr>
            <w:r>
              <w:rPr/>
              <w:t>订到率保障措施（一） (3.0分)</w:t>
            </w:r>
          </w:p>
        </w:tc>
        <w:tc>
          <w:tcPr>
            <w:tcW w:type="dxa" w:w="5076"/>
          </w:tcPr>
          <w:p>
            <w:pPr>
              <w:jc w:val="left"/>
            </w:pPr>
            <w:r>
              <w:rPr/>
              <w:t>评标委员会根据投标人提供的图书订到率的保障措施进行评审，方案应包括（投标文件中方案标题应以下列方案名称命名）： （1）重点难点分析； （2）应对措施； （3）投递服务保障； 提供全部内容得3分，每缺1项扣1分。</w:t>
            </w:r>
          </w:p>
        </w:tc>
      </w:tr>
      <w:tr>
        <w:tc>
          <w:tcPr>
            <w:tcW w:type="dxa" w:w="922"/>
            <w:gridSpan w:val="2"/>
            <w:vMerge/>
          </w:tcPr>
          <w:p/>
        </w:tc>
        <w:tc>
          <w:tcPr>
            <w:tcW w:type="dxa" w:w="2307"/>
          </w:tcPr>
          <w:p>
            <w:pPr>
              <w:jc w:val="left"/>
            </w:pPr>
            <w:r>
              <w:rPr/>
              <w:t>订到率保障措施（二） (9.0分)</w:t>
            </w:r>
          </w:p>
        </w:tc>
        <w:tc>
          <w:tcPr>
            <w:tcW w:type="dxa" w:w="5076"/>
          </w:tcPr>
          <w:p>
            <w:pPr>
              <w:jc w:val="left"/>
            </w:pPr>
            <w:r>
              <w:rPr/>
              <w:t>评标委员会根据投标人提供的图书订到率的保障措施（一）进行综合评审： （1）项目实施方案对需求响应全面具体、针对项目全部重点难点全面剖析，能针对全部重点难点提出科学合理、可直接执行的实施方案，有效保障本项目实施，投递服务保障有利于实现服务效果，得9分； （2）项目实施方案对需求响应全面具体，针对部分重点难点全面剖析，只针对部分重点难点提出科学合理，具备一定执行性的实施方案，能基本保障本项目服务实施，投递服务保障基本满足服务效果，得5分； （3）项目实施方案对需求响应不全面，只针对部分重点难点剖析，提出方案合理性不足、针对性不强或难以执行的，无法保障本项目服务实施，投递服务保障达不到服务效果，得1分； （4）不提供不得分。</w:t>
            </w:r>
          </w:p>
        </w:tc>
      </w:tr>
      <w:tr>
        <w:tc>
          <w:tcPr>
            <w:tcW w:type="dxa" w:w="922"/>
            <w:gridSpan w:val="2"/>
            <w:vMerge/>
          </w:tcPr>
          <w:p/>
        </w:tc>
        <w:tc>
          <w:tcPr>
            <w:tcW w:type="dxa" w:w="2307"/>
          </w:tcPr>
          <w:p>
            <w:pPr>
              <w:jc w:val="left"/>
            </w:pPr>
            <w:r>
              <w:rPr/>
              <w:t>项目执行计划（一） (4.0分)</w:t>
            </w:r>
          </w:p>
        </w:tc>
        <w:tc>
          <w:tcPr>
            <w:tcW w:type="dxa" w:w="5076"/>
          </w:tcPr>
          <w:p>
            <w:pPr>
              <w:jc w:val="left"/>
            </w:pPr>
            <w:r>
              <w:rPr/>
              <w:t>评标委员会根据投标人提供的项目执行计划进行评审，方案应包括（投标文件中方案标题应以下列方案名称命名）： （1）供货计划； （2）图书采购计划； （3）图书到货保证措施（一）；（包括但不限于采到率、采准率、退换率） （4）图书到货保证措施（二）；（包括但不限于补订、急订） 提供全部内容得4分，每缺1项扣1分。</w:t>
            </w:r>
          </w:p>
        </w:tc>
      </w:tr>
      <w:tr>
        <w:tc>
          <w:tcPr>
            <w:tcW w:type="dxa" w:w="922"/>
            <w:gridSpan w:val="2"/>
            <w:vMerge/>
          </w:tcPr>
          <w:p/>
        </w:tc>
        <w:tc>
          <w:tcPr>
            <w:tcW w:type="dxa" w:w="2307"/>
          </w:tcPr>
          <w:p>
            <w:pPr>
              <w:jc w:val="left"/>
            </w:pPr>
            <w:r>
              <w:rPr/>
              <w:t>项目执行计划（二） (10.0分)</w:t>
            </w:r>
          </w:p>
        </w:tc>
        <w:tc>
          <w:tcPr>
            <w:tcW w:type="dxa" w:w="5076"/>
          </w:tcPr>
          <w:p>
            <w:pPr>
              <w:jc w:val="left"/>
            </w:pPr>
            <w:r>
              <w:rPr/>
              <w:t>评标委员会根据各投标人提供的项目执行计划（一）进行综合评价： （1）针对项目执行计划上评审，图书采购计划全面完善，图书到货保证措施时间安排合理，满足项目实施要求的，能有效保障本项目实施，有利于实现服务效果的得10分， （2）针对项目执行计划上评审，图书采购计划全面具体，图书到货保证措施时间安排合理，重难点满足项目实施要求的，能基本保障本项目实施，基本实现服务效果的得5分， （3）针对项目执行计划上评审，图书采购计划不够具体完善，图书到货保证措施时间不合理，部分满足项目实施要求的，不能完全保障本项目实施，难以实现服务效果的得1分。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评标委员会根据各投标人提供的售后服务方案进行综合评价： （1）急需用书即时送货； （2）特色书源； （3）文化节活动参与度； （4）专题讲座； （5）专题书展； （6）读书节活动支持。 提供全部内容得3分，每缺1项扣0.5分。</w:t>
            </w:r>
          </w:p>
        </w:tc>
      </w:tr>
      <w:tr>
        <w:tc>
          <w:tcPr>
            <w:tcW w:type="dxa" w:w="922"/>
            <w:gridSpan w:val="2"/>
            <w:vMerge/>
          </w:tcPr>
          <w:p/>
        </w:tc>
        <w:tc>
          <w:tcPr>
            <w:tcW w:type="dxa" w:w="2307"/>
          </w:tcPr>
          <w:p>
            <w:pPr>
              <w:jc w:val="left"/>
            </w:pPr>
            <w:r>
              <w:rPr/>
              <w:t>售后服务方案（二） (9.0分)</w:t>
            </w:r>
          </w:p>
        </w:tc>
        <w:tc>
          <w:tcPr>
            <w:tcW w:type="dxa" w:w="5076"/>
          </w:tcPr>
          <w:p>
            <w:pPr>
              <w:jc w:val="left"/>
            </w:pPr>
            <w:r>
              <w:rPr/>
              <w:t>评标委员会根据各投标人提供的售后服务方案（一）进行综合评价： （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2020年1月1日以来（以合同签订时间为准）同类项目业绩： （1）投标人每提供一项原版外文图书业绩得1分，此项最高得4分。 （2）投标人每提供一项原版港台图书业绩得1分，此项最高得4分。 注：一项业绩中同时包含原版外文图书及港台图书的可累计得分。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(4.0分)</w:t>
            </w:r>
          </w:p>
        </w:tc>
        <w:tc>
          <w:tcPr>
            <w:tcW w:type="dxa" w:w="5076"/>
          </w:tcPr>
          <w:p>
            <w:pPr>
              <w:jc w:val="left"/>
            </w:pPr>
            <w:r>
              <w:rPr/>
              <w:t>提供与上述“项目业绩”相对应的用户评价，评价为满意（非常满意）或优秀或良好等正面评价的，每提供一个得0.5分，本项最高4分。 注：提供用户评价材料（须含甲方公章）复印件，否则不得分。</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投标人具有有效的质量管理体系认证、环境管理体系认证、职业健康安全管理体系认证证书，每提供一项得1分，最高得3分。  注：同时提供有效期内的证书复印件，不提供或专家无法认定的不得分。</w:t>
            </w:r>
          </w:p>
        </w:tc>
      </w:tr>
      <w:tr>
        <w:tc>
          <w:tcPr>
            <w:tcW w:type="dxa" w:w="922"/>
            <w:gridSpan w:val="2"/>
            <w:vMerge/>
          </w:tcPr>
          <w:p/>
        </w:tc>
        <w:tc>
          <w:tcPr>
            <w:tcW w:type="dxa" w:w="2307"/>
          </w:tcPr>
          <w:p>
            <w:pPr>
              <w:jc w:val="left"/>
            </w:pPr>
            <w:r>
              <w:rPr/>
              <w:t>服务响应能力  (5.0分)</w:t>
            </w:r>
          </w:p>
        </w:tc>
        <w:tc>
          <w:tcPr>
            <w:tcW w:type="dxa" w:w="5076"/>
          </w:tcPr>
          <w:p>
            <w:pPr>
              <w:jc w:val="left"/>
            </w:pPr>
            <w:r>
              <w:rPr/>
              <w:t>接到采购人通知后，投标人承诺的服务响应时间：  在1个工作日（含）内到场的，得5分； 在1个工作日（不含）—2个工作日（含）到场的，得3分； 在2个工作日（不含）以上到场的，得1分。 注：提供承诺函或声明函，不提供不得分。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t>采购包2(原版外文及港台期刊):</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期刊质量保证措施（一） (3.0分)</w:t>
            </w:r>
          </w:p>
        </w:tc>
        <w:tc>
          <w:tcPr>
            <w:tcW w:type="dxa" w:w="5076"/>
          </w:tcPr>
          <w:p>
            <w:pPr>
              <w:jc w:val="left"/>
            </w:pPr>
            <w:r>
              <w:rPr/>
              <w:t>评标委员会根据投标人提供的期刊质量保证措施进行评审，方案应包括（投标文件中方案标题应以下列方案名称命名）： （1）供货承诺情况； （2）退换承诺情况； （3）质量保证措施。 提供全部内容得3分，每缺1项扣1分。</w:t>
            </w:r>
          </w:p>
        </w:tc>
      </w:tr>
      <w:tr>
        <w:tc>
          <w:tcPr>
            <w:tcW w:type="dxa" w:w="922"/>
            <w:gridSpan w:val="2"/>
            <w:vMerge/>
          </w:tcPr>
          <w:p/>
        </w:tc>
        <w:tc>
          <w:tcPr>
            <w:tcW w:type="dxa" w:w="2307"/>
          </w:tcPr>
          <w:p>
            <w:pPr>
              <w:jc w:val="left"/>
            </w:pPr>
            <w:r>
              <w:rPr/>
              <w:t>期刊质量保证措施（二） (9.0分)</w:t>
            </w:r>
          </w:p>
        </w:tc>
        <w:tc>
          <w:tcPr>
            <w:tcW w:type="dxa" w:w="5076"/>
          </w:tcPr>
          <w:p>
            <w:pPr>
              <w:jc w:val="left"/>
            </w:pPr>
            <w:r>
              <w:rPr/>
              <w:t>评标委员会根据各投标人提供的期刊质量保证措施（一）进行综合评价： （1）投标人提供保证正版期刊的承诺函（并承诺杜绝提供其他非法期刊），有承诺不符合质量及采购人要求提供无条件退换的，得3分，不提供或承诺内容不完整的得0分； （2）投标人承诺期刊有防水及防潮包装的：有得3分，不提供或承诺内容不完整的得0分；（承诺函中需提供期刊防水及防潮包装的图片） 有承诺不符合质量及用户要求提供无条件退换，得2分； （3）投标人承诺（无条件送货、按时、准确）及提供到货清单和未到货清单服务等，有得3分，不提供或承诺内容不完整的得0分。</w:t>
            </w:r>
          </w:p>
        </w:tc>
      </w:tr>
      <w:tr>
        <w:tc>
          <w:tcPr>
            <w:tcW w:type="dxa" w:w="922"/>
            <w:gridSpan w:val="2"/>
            <w:vMerge/>
          </w:tcPr>
          <w:p/>
        </w:tc>
        <w:tc>
          <w:tcPr>
            <w:tcW w:type="dxa" w:w="2307"/>
          </w:tcPr>
          <w:p>
            <w:pPr>
              <w:jc w:val="left"/>
            </w:pPr>
            <w:r>
              <w:rPr/>
              <w:t>订到率保障措施（一） (3.0分)</w:t>
            </w:r>
          </w:p>
        </w:tc>
        <w:tc>
          <w:tcPr>
            <w:tcW w:type="dxa" w:w="5076"/>
          </w:tcPr>
          <w:p>
            <w:pPr>
              <w:jc w:val="left"/>
            </w:pPr>
            <w:r>
              <w:rPr/>
              <w:t>评标委员会根据投标人提供的期刊订到率的保障措施进行评审，方案应包括（投标文件中方案标题应以下列方案名称命名）： （1）重点难点分析； （2）应对措施； （3）投递服务保障； 提供全部内容得3分，每缺1项扣1分。</w:t>
            </w:r>
          </w:p>
        </w:tc>
      </w:tr>
      <w:tr>
        <w:tc>
          <w:tcPr>
            <w:tcW w:type="dxa" w:w="922"/>
            <w:gridSpan w:val="2"/>
            <w:vMerge/>
          </w:tcPr>
          <w:p/>
        </w:tc>
        <w:tc>
          <w:tcPr>
            <w:tcW w:type="dxa" w:w="2307"/>
          </w:tcPr>
          <w:p>
            <w:pPr>
              <w:jc w:val="left"/>
            </w:pPr>
            <w:r>
              <w:rPr/>
              <w:t>订到率保障措施（二） (9.0分)</w:t>
            </w:r>
          </w:p>
        </w:tc>
        <w:tc>
          <w:tcPr>
            <w:tcW w:type="dxa" w:w="5076"/>
          </w:tcPr>
          <w:p>
            <w:pPr>
              <w:jc w:val="left"/>
            </w:pPr>
            <w:r>
              <w:rPr/>
              <w:t>根据投标人对期刊订到率的保障措施（包括但不限于重点难点分析、应对措施、投递服务保障等）进行评价。 （1）项目实施方案对需求响应全面具体、针对项目全部重点难点全面剖析，能针对全部重点难点提出科学合理、可直接执行的实施方案，有效保障本项目实施，投递服务保障有利于实现服务效果，得9分； （2）项目实施方案对需求响应全面具体，针对部分重点难点全面剖析，只针对部分重点难点提出科学合理，具备一定执行性的实施方案，能基本保障本项目服务实施，投递服务保障基本满足服务效果，得5分； （3）项目实施方案对需求响应不全面，只针对部分重点难点剖析，提出方案合理性不足、针对性不强或难以执行的，无法保障本项目服务实施，投递服务保障达不到服务效果，得1分； （4）不提供不得分。</w:t>
            </w:r>
          </w:p>
        </w:tc>
      </w:tr>
      <w:tr>
        <w:tc>
          <w:tcPr>
            <w:tcW w:type="dxa" w:w="922"/>
            <w:gridSpan w:val="2"/>
            <w:vMerge/>
          </w:tcPr>
          <w:p/>
        </w:tc>
        <w:tc>
          <w:tcPr>
            <w:tcW w:type="dxa" w:w="2307"/>
          </w:tcPr>
          <w:p>
            <w:pPr>
              <w:jc w:val="left"/>
            </w:pPr>
            <w:r>
              <w:rPr/>
              <w:t>项目执行计划（一） (4.0分)</w:t>
            </w:r>
          </w:p>
        </w:tc>
        <w:tc>
          <w:tcPr>
            <w:tcW w:type="dxa" w:w="5076"/>
          </w:tcPr>
          <w:p>
            <w:pPr>
              <w:jc w:val="left"/>
            </w:pPr>
            <w:r>
              <w:rPr/>
              <w:t>评标委员会根据投标人提供的项目执行计划进行评审，方案应包括（投标文件中方案标题应以下列方案名称命名）： （1）供货计划； （2）期刊采购计划； （3）期刊到货保证措施（一）；（包括但不限于采到率、采准率、退换率） （4）期刊到货保证措施（二）；（包括但不限于补订、急订） 提供全部内容得4分，每缺1项扣1分。</w:t>
            </w:r>
          </w:p>
        </w:tc>
      </w:tr>
      <w:tr>
        <w:tc>
          <w:tcPr>
            <w:tcW w:type="dxa" w:w="922"/>
            <w:gridSpan w:val="2"/>
            <w:vMerge/>
          </w:tcPr>
          <w:p/>
        </w:tc>
        <w:tc>
          <w:tcPr>
            <w:tcW w:type="dxa" w:w="2307"/>
          </w:tcPr>
          <w:p>
            <w:pPr>
              <w:jc w:val="left"/>
            </w:pPr>
            <w:r>
              <w:rPr/>
              <w:t>项目执行计划（二） (10.0分)</w:t>
            </w:r>
          </w:p>
        </w:tc>
        <w:tc>
          <w:tcPr>
            <w:tcW w:type="dxa" w:w="5076"/>
          </w:tcPr>
          <w:p>
            <w:pPr>
              <w:jc w:val="left"/>
            </w:pPr>
            <w:r>
              <w:rPr/>
              <w:t>评标委员会根据各投标人提供的项目执行计划（一）进行综合评价： （1）针对项目执行计划上评审，期刊采购计划全面完善，期刊到货保证措施时间安排合理，满足项目实施要求的，能有效保障本项目实施，有利于实现服务效果的得10分， （2）针对项目执行计划上评审，期刊采购计划全面具体，期刊到货保证措施时间安排合理，重难点满足项目实施要求的，能基本保障本项目实施，基本实现服务效果的得5分， （3）针对项目执行计划上评审，期刊采购计划不够具体完善，期刊到货保证措施时间不合理，部分满足项目实施要求的，不能完全保障本项目实施，难以实现服务效果的得1分， （4）不提供不得分。</w:t>
            </w:r>
          </w:p>
        </w:tc>
      </w:tr>
      <w:tr>
        <w:tc>
          <w:tcPr>
            <w:tcW w:type="dxa" w:w="922"/>
            <w:gridSpan w:val="2"/>
            <w:vMerge/>
          </w:tcPr>
          <w:p/>
        </w:tc>
        <w:tc>
          <w:tcPr>
            <w:tcW w:type="dxa" w:w="2307"/>
          </w:tcPr>
          <w:p>
            <w:pPr>
              <w:jc w:val="left"/>
            </w:pPr>
            <w:r>
              <w:rPr/>
              <w:t>售后服务方案（一） (3.0分)</w:t>
            </w:r>
          </w:p>
        </w:tc>
        <w:tc>
          <w:tcPr>
            <w:tcW w:type="dxa" w:w="5076"/>
          </w:tcPr>
          <w:p>
            <w:pPr>
              <w:jc w:val="left"/>
            </w:pPr>
            <w:r>
              <w:rPr/>
              <w:t>评标委员会根据各投标人提供的售后服务方案进行综合评价： （1）急需用书即时送货； （2）特色书源； （3）文化节活动参与度； （4）专题讲座； （5）专题书展； （6）读书节活动支持。 提供全部内容得3分，每缺1项扣0.5分。</w:t>
            </w:r>
          </w:p>
        </w:tc>
      </w:tr>
      <w:tr>
        <w:tc>
          <w:tcPr>
            <w:tcW w:type="dxa" w:w="922"/>
            <w:gridSpan w:val="2"/>
            <w:vMerge/>
          </w:tcPr>
          <w:p/>
        </w:tc>
        <w:tc>
          <w:tcPr>
            <w:tcW w:type="dxa" w:w="2307"/>
          </w:tcPr>
          <w:p>
            <w:pPr>
              <w:jc w:val="left"/>
            </w:pPr>
            <w:r>
              <w:rPr/>
              <w:t>售后服务方案（二） (9.0分)</w:t>
            </w:r>
          </w:p>
        </w:tc>
        <w:tc>
          <w:tcPr>
            <w:tcW w:type="dxa" w:w="5076"/>
          </w:tcPr>
          <w:p>
            <w:pPr>
              <w:jc w:val="left"/>
            </w:pPr>
            <w:r>
              <w:rPr/>
              <w:t>（1）售后服务方案对需求响应全面具体，针对实施难点及关键点全面剖析，提出方案全面具体，售后服务计划详细完备并配备完善的保障人员和预备人员，方案可直接全面执行的，有效保障本项目实施，有利于实现服务效果，得9分； （2）售后服务方案对需求响应全面具体，只针对实施的部分难点或部分关键点进行剖析，售后服务计划不完善或者配备人员不足，但方案仍具备一定执行性的，基本保障本项目服务实施，基本满足服务效果，得5分； （3）售后服务方案对需求响应不全面，对实施难点重点认识不清晰，售后服务计划差或者人员配备差的，或者方案难以执行的，无法保障本项目服务实施，达不到服务效果，得1分； （4）不提供不得分。</w:t>
            </w:r>
          </w:p>
        </w:tc>
      </w:tr>
      <w:tr>
        <w:tc>
          <w:tcPr>
            <w:tcW w:type="dxa" w:w="922"/>
            <w:gridSpan w:val="2"/>
            <w:vMerge w:val="restart"/>
          </w:tcPr>
          <w:p>
            <w:pPr>
              <w:jc w:val="center"/>
            </w:pPr>
            <w:r>
              <w:rPr/>
              <w:t>商务部分</w:t>
            </w:r>
          </w:p>
        </w:tc>
        <w:tc>
          <w:tcPr>
            <w:tcW w:type="dxa" w:w="2307"/>
          </w:tcPr>
          <w:p>
            <w:pPr>
              <w:jc w:val="left"/>
            </w:pPr>
            <w:r>
              <w:rPr/>
              <w:t>项目业绩 (8.0分)</w:t>
            </w:r>
          </w:p>
        </w:tc>
        <w:tc>
          <w:tcPr>
            <w:tcW w:type="dxa" w:w="5076"/>
          </w:tcPr>
          <w:p>
            <w:pPr>
              <w:jc w:val="left"/>
            </w:pPr>
            <w:r>
              <w:rPr/>
              <w:t>2020年1月1日以来（以合同签订时间为准）同类项目业绩： （1）投标人每提供一项原版外文期刊业绩得1分，此项最高得4分。 （2）投标人每提供一项原版港台期刊业绩得1分，此项最高得4分。 注：一项业绩中同时包含原版外文期刊及港台期刊的可累计得分。需提供合同关键页（合同关键页必须有用户单位名称、合同项目名称、合同标的主要采购内容、签订合同双方的落款盖章、合同签订日期）复印件，以合同的签订日期为准，不提供或专家无法认定的不得分。</w:t>
            </w:r>
          </w:p>
        </w:tc>
      </w:tr>
      <w:tr>
        <w:tc>
          <w:tcPr>
            <w:tcW w:type="dxa" w:w="922"/>
            <w:gridSpan w:val="2"/>
            <w:vMerge/>
          </w:tcPr>
          <w:p/>
        </w:tc>
        <w:tc>
          <w:tcPr>
            <w:tcW w:type="dxa" w:w="2307"/>
          </w:tcPr>
          <w:p>
            <w:pPr>
              <w:jc w:val="left"/>
            </w:pPr>
            <w:r>
              <w:rPr/>
              <w:t>用户评价 (2.0分)</w:t>
            </w:r>
          </w:p>
        </w:tc>
        <w:tc>
          <w:tcPr>
            <w:tcW w:type="dxa" w:w="5076"/>
          </w:tcPr>
          <w:p>
            <w:pPr>
              <w:jc w:val="left"/>
            </w:pPr>
            <w:r>
              <w:rPr/>
              <w:t>提供与上述“项目业绩”要求的用户评价，评价为满意（非常满意）或优秀或良好等正面评价的，每提供一个得0.25分，本项最高2分。 注：提供用户评价材料（须含甲方公章）复印件，否则不得分。</w:t>
            </w:r>
          </w:p>
        </w:tc>
      </w:tr>
      <w:tr>
        <w:tc>
          <w:tcPr>
            <w:tcW w:type="dxa" w:w="922"/>
            <w:gridSpan w:val="2"/>
            <w:vMerge/>
          </w:tcPr>
          <w:p/>
        </w:tc>
        <w:tc>
          <w:tcPr>
            <w:tcW w:type="dxa" w:w="2307"/>
          </w:tcPr>
          <w:p>
            <w:pPr>
              <w:jc w:val="left"/>
            </w:pPr>
            <w:r>
              <w:rPr/>
              <w:t>与出版社合作情况 (4.0分)</w:t>
            </w:r>
          </w:p>
        </w:tc>
        <w:tc>
          <w:tcPr>
            <w:tcW w:type="dxa" w:w="5076"/>
          </w:tcPr>
          <w:p>
            <w:pPr>
              <w:jc w:val="left"/>
            </w:pPr>
            <w:r>
              <w:rPr/>
              <w:t>投标人与需求清单中的出版社具有合作关系，提供合同或协议复印件： （1）提供份数≥30的，得4分； （2）20≤提供份数＜30的，得3分； （3）10≤提供份数＜20的，得2分； （4）1≤提供份数＜10的，得1份； 未提供不得分。</w:t>
            </w:r>
          </w:p>
        </w:tc>
      </w:tr>
      <w:tr>
        <w:tc>
          <w:tcPr>
            <w:tcW w:type="dxa" w:w="922"/>
            <w:gridSpan w:val="2"/>
            <w:vMerge/>
          </w:tcPr>
          <w:p/>
        </w:tc>
        <w:tc>
          <w:tcPr>
            <w:tcW w:type="dxa" w:w="2307"/>
          </w:tcPr>
          <w:p>
            <w:pPr>
              <w:jc w:val="left"/>
            </w:pPr>
            <w:r>
              <w:rPr/>
              <w:t>体系认证证书 (3.0分)</w:t>
            </w:r>
          </w:p>
        </w:tc>
        <w:tc>
          <w:tcPr>
            <w:tcW w:type="dxa" w:w="5076"/>
          </w:tcPr>
          <w:p>
            <w:pPr>
              <w:jc w:val="left"/>
            </w:pPr>
            <w:r>
              <w:rPr/>
              <w:t>投标人具有有效的质量管理体系认证、环境管理体系认证、职业健康安全管理体系认证证书，每提供一项得1分，最高得3分。  注：同时提供有效期内的证书复印件，不提供或专家无法认定的不得分。</w:t>
            </w:r>
          </w:p>
        </w:tc>
      </w:tr>
      <w:tr>
        <w:tc>
          <w:tcPr>
            <w:tcW w:type="dxa" w:w="922"/>
            <w:gridSpan w:val="2"/>
            <w:vMerge/>
          </w:tcPr>
          <w:p/>
        </w:tc>
        <w:tc>
          <w:tcPr>
            <w:tcW w:type="dxa" w:w="2307"/>
          </w:tcPr>
          <w:p>
            <w:pPr>
              <w:jc w:val="left"/>
            </w:pPr>
            <w:r>
              <w:rPr/>
              <w:t>服务响应能力  (3.0分)</w:t>
            </w:r>
          </w:p>
        </w:tc>
        <w:tc>
          <w:tcPr>
            <w:tcW w:type="dxa" w:w="5076"/>
          </w:tcPr>
          <w:p>
            <w:pPr>
              <w:jc w:val="left"/>
            </w:pPr>
            <w:r>
              <w:rPr/>
              <w:t>接到采购人通知后，投标人承诺的服务响应时间：  在1个工作日（含）内到场的，得3分； 在1个工作日（不含）—2个工作日（含）到场的，得2分； 在2个工作日（不含）以上到场的，得1分。 注：提供承诺函或声明函，不提供不得分。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人为第一中标候选人，排名第二的投标人为第二中标候选人（提供相同品牌产品（非单一产品采购，以核心产品为准。多个核心产品的，有一种产品品牌相同，即视为提供相同品牌产品），评审后得分最高的同品牌投标人获得中标供应商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numPr>
          <w:ilvl w:val="0"/>
          <w:numId w:val="1"/>
        </w:numPr>
      </w:pPr>
    </w:p>
    <w:p>
      <w:pPr>
        <w:numPr>
          <w:ilvl w:val="1"/>
          <w:numId w:val="1"/>
        </w:numPr>
      </w:pPr>
      <w:r>
        <w:rPr>
          <w:sz w:val="21"/>
        </w:rPr>
        <w:t>合同书格式</w:t>
      </w:r>
    </w:p>
    <w:p>
      <w:pPr>
        <w:ind w:firstLine="210"/>
        <w:jc w:val="both"/>
      </w:pPr>
    </w:p>
    <w:p>
      <w:pPr>
        <w:jc w:val="both"/>
      </w:pPr>
    </w:p>
    <w:p>
      <w:pPr>
        <w:jc w:val="both"/>
      </w:pPr>
      <w:r>
        <w:rPr>
          <w:sz w:val="21"/>
        </w:rPr>
        <w:t>广东省政府采购</w:t>
      </w:r>
    </w:p>
    <w:p>
      <w:pPr>
        <w:jc w:val="both"/>
      </w:pPr>
      <w:r>
        <w:rPr>
          <w:sz w:val="21"/>
        </w:rPr>
        <w:t>合</w:t>
      </w:r>
      <w:r>
        <w:rPr>
          <w:sz w:val="21"/>
        </w:rPr>
        <w:t xml:space="preserve"> </w:t>
      </w:r>
      <w:r>
        <w:rPr>
          <w:sz w:val="21"/>
        </w:rPr>
        <w:t>同</w:t>
      </w:r>
      <w:r>
        <w:rPr>
          <w:sz w:val="21"/>
        </w:rPr>
        <w:t xml:space="preserve"> </w:t>
      </w:r>
      <w:r>
        <w:rPr>
          <w:sz w:val="21"/>
        </w:rPr>
        <w:t>书</w:t>
      </w:r>
    </w:p>
    <w:p>
      <w:pPr>
        <w:jc w:val="both"/>
      </w:pPr>
    </w:p>
    <w:p>
      <w:pPr>
        <w:jc w:val="both"/>
      </w:pPr>
    </w:p>
    <w:p>
      <w:pPr>
        <w:jc w:val="both"/>
      </w:pPr>
    </w:p>
    <w:p>
      <w:pPr>
        <w:jc w:val="both"/>
      </w:pPr>
    </w:p>
    <w:p>
      <w:pPr>
        <w:jc w:val="both"/>
      </w:pPr>
    </w:p>
    <w:p>
      <w:pPr>
        <w:jc w:val="both"/>
      </w:pPr>
    </w:p>
    <w:p>
      <w:pPr>
        <w:jc w:val="both"/>
      </w:pPr>
    </w:p>
    <w:p>
      <w:pPr>
        <w:jc w:val="both"/>
      </w:pPr>
      <w:r>
        <w:rPr>
          <w:sz w:val="21"/>
        </w:rPr>
        <w:t>项目编号：</w:t>
      </w:r>
    </w:p>
    <w:p>
      <w:pPr>
        <w:jc w:val="both"/>
      </w:pPr>
      <w:r>
        <w:rPr>
          <w:sz w:val="21"/>
        </w:rPr>
        <w:t>项目名称：</w:t>
      </w:r>
    </w:p>
    <w:p>
      <w:pPr>
        <w:jc w:val="both"/>
      </w:pPr>
      <w:r>
        <w:rPr>
          <w:sz w:val="21"/>
        </w:rPr>
        <w:t>合同编号：</w:t>
      </w:r>
    </w:p>
    <w:p>
      <w:pPr>
        <w:jc w:val="both"/>
      </w:pPr>
    </w:p>
    <w:p>
      <w:pPr>
        <w:jc w:val="both"/>
      </w:pPr>
    </w:p>
    <w:p>
      <w:pPr>
        <w:jc w:val="both"/>
      </w:pPr>
    </w:p>
    <w:p>
      <w:pPr>
        <w:jc w:val="both"/>
      </w:pPr>
      <w:r>
        <w:rPr>
          <w:sz w:val="21"/>
        </w:rPr>
        <w:t>采购代理机构：</w:t>
      </w:r>
    </w:p>
    <w:p>
      <w:pPr>
        <w:jc w:val="both"/>
      </w:pPr>
    </w:p>
    <w:p>
      <w:pPr>
        <w:ind w:firstLine="210"/>
        <w:jc w:val="both"/>
      </w:pPr>
    </w:p>
    <w:p>
      <w:pPr>
        <w:jc w:val="both"/>
      </w:pPr>
    </w:p>
    <w:p/>
    <w:p>
      <w:r>
        <w:rPr/>
        <w:t xml:space="preserve"> </w:t>
      </w:r>
    </w:p>
    <w:p>
      <w:pPr>
        <w:ind w:firstLine="480"/>
        <w:jc w:val="left"/>
      </w:pPr>
      <w:r>
        <w:rPr>
          <w:sz w:val="24"/>
        </w:rPr>
        <w:t>合同样本</w:t>
      </w:r>
      <w:r>
        <w:rPr>
          <w:sz w:val="24"/>
        </w:rPr>
        <w:t>一</w:t>
      </w:r>
      <w:r>
        <w:rPr>
          <w:sz w:val="24"/>
        </w:rPr>
        <w:t>（适用于采购包</w:t>
      </w:r>
      <w:r>
        <w:rPr>
          <w:sz w:val="24"/>
        </w:rPr>
        <w:t>1</w:t>
      </w:r>
      <w:r>
        <w:rPr>
          <w:sz w:val="24"/>
        </w:rPr>
        <w:t>）</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02"/>
        <w:gridCol w:w="4103"/>
      </w:tblGrid>
      <w:tr>
        <w:tc>
          <w:tcPr>
            <w:tcW w:type="dxa" w:w="4202"/>
            <w:tcBorders>
              <w:top w:val="single" w:color="F2F2F2" w:sz="4"/>
              <w:left w:val="single" w:color="F2F2F2" w:sz="4"/>
              <w:bottom w:val="single" w:color="F2F2F2" w:sz="4"/>
              <w:right w:val="single" w:color="F2F2F2" w:sz="4"/>
            </w:tcBorders>
            <w:vAlign w:val="top"/>
          </w:tcPr>
          <w:p>
            <w:pPr>
              <w:jc w:val="both"/>
            </w:pPr>
            <w:r>
              <w:rPr>
                <w:sz w:val="21"/>
              </w:rPr>
              <w:t>甲方：汕头大学</w:t>
            </w:r>
          </w:p>
        </w:tc>
        <w:tc>
          <w:tcPr>
            <w:tcW w:type="dxa" w:w="4103"/>
            <w:tcBorders>
              <w:top w:val="single" w:color="F2F2F2" w:sz="4"/>
              <w:left w:val="single" w:color="F2F2F2" w:sz="4"/>
              <w:bottom w:val="single" w:color="F2F2F2" w:sz="4"/>
              <w:right w:val="single" w:color="F2F2F2" w:sz="4"/>
            </w:tcBorders>
            <w:vAlign w:val="top"/>
          </w:tcPr>
          <w:p>
            <w:pPr>
              <w:jc w:val="both"/>
            </w:pPr>
            <w:r>
              <w:rPr>
                <w:sz w:val="21"/>
              </w:rPr>
              <w:t>乙方：</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法定代表人：</w:t>
            </w:r>
            <w:r>
              <w:rPr>
                <w:sz w:val="21"/>
              </w:rPr>
              <w:t>郝志峰</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法定代表人：</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地址：</w:t>
            </w:r>
            <w:r>
              <w:rPr>
                <w:sz w:val="21"/>
              </w:rPr>
              <w:t>汕头市金平区大学路</w:t>
            </w:r>
            <w:r>
              <w:rPr>
                <w:sz w:val="21"/>
              </w:rPr>
              <w:t>243</w:t>
            </w:r>
            <w:r>
              <w:rPr>
                <w:sz w:val="21"/>
              </w:rPr>
              <w:t>号</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地址：</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开户银行：</w:t>
            </w:r>
            <w:r>
              <w:rPr>
                <w:sz w:val="21"/>
              </w:rPr>
              <w:t>中国银行汕头大学支行</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开户银行：</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帐号：</w:t>
            </w:r>
            <w:r>
              <w:rPr>
                <w:sz w:val="21"/>
              </w:rPr>
              <w:t>628857760147</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帐号：</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统一社会信用代码：</w:t>
            </w:r>
            <w:r>
              <w:rPr>
                <w:sz w:val="21"/>
              </w:rPr>
              <w:t>1244000045594645X2</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统一社会信用代码：</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联系人：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联系人：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电子邮箱：</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电子邮箱：</w:t>
            </w:r>
          </w:p>
        </w:tc>
      </w:tr>
    </w:tbl>
    <w:p>
      <w:pPr>
        <w:ind w:firstLine="420"/>
        <w:jc w:val="left"/>
      </w:pPr>
    </w:p>
    <w:p>
      <w:pPr>
        <w:jc w:val="both"/>
      </w:pPr>
      <w:r>
        <w:rPr>
          <w:sz w:val="21"/>
        </w:rPr>
        <w:t>根据</w:t>
      </w:r>
      <w:r>
        <w:rPr>
          <w:sz w:val="21"/>
          <w:u w:val="single"/>
        </w:rPr>
        <w:t xml:space="preserve">         </w:t>
      </w:r>
      <w:r>
        <w:rPr>
          <w:sz w:val="21"/>
        </w:rPr>
        <w:t>（项目编号：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jc w:val="both"/>
      </w:pPr>
      <w:r>
        <w:rPr>
          <w:b/>
          <w:sz w:val="21"/>
        </w:rPr>
        <w:t>一、合同标的</w:t>
      </w:r>
    </w:p>
    <w:p>
      <w:pPr>
        <w:jc w:val="both"/>
      </w:pPr>
      <w:r>
        <w:rPr>
          <w:sz w:val="21"/>
        </w:rPr>
        <w:t>1.</w:t>
      </w:r>
      <w:r>
        <w:rPr>
          <w:sz w:val="21"/>
        </w:rPr>
        <w:t>项目内容：</w:t>
      </w:r>
    </w:p>
    <w:p>
      <w:pPr>
        <w:jc w:val="both"/>
      </w:pPr>
      <w:r>
        <w:rPr>
          <w:sz w:val="21"/>
        </w:rPr>
        <w:t>2.</w:t>
      </w:r>
      <w:r>
        <w:rPr>
          <w:sz w:val="21"/>
        </w:rPr>
        <w:t>采购范围：原版外文与港台图书</w:t>
      </w:r>
    </w:p>
    <w:p>
      <w:pPr>
        <w:ind w:firstLine="420"/>
        <w:jc w:val="left"/>
      </w:pPr>
    </w:p>
    <w:p>
      <w:pPr>
        <w:ind w:firstLine="420"/>
        <w:jc w:val="left"/>
      </w:pPr>
      <w:r>
        <w:rPr>
          <w:b/>
          <w:sz w:val="21"/>
        </w:rPr>
        <w:t>二、合同费用及付款方式</w:t>
      </w:r>
    </w:p>
    <w:p>
      <w:pPr>
        <w:jc w:val="both"/>
      </w:pPr>
      <w:r>
        <w:rPr>
          <w:sz w:val="21"/>
        </w:rPr>
        <w:t>（</w:t>
      </w:r>
      <w:r>
        <w:rPr>
          <w:sz w:val="21"/>
        </w:rPr>
        <w:t>1</w:t>
      </w:r>
      <w:r>
        <w:rPr>
          <w:sz w:val="21"/>
        </w:rPr>
        <w:t>）合同有效期内，到馆图书经甲方验收合格，完成交付，乙方按图书码洋中标折扣率结算并提供专用发票，本项目共分为六次付款。每批次图书到货后，经甲方完成验收工作，需要退换书的办妥退换书手续，并经双方确认后，按结算价结算。结算价格已包含履行合同及本项目招标文件特别是其中“技术标准与要求”要求所有相关服务所需的服务费用及进口关税、进口环节增值税、消费税、其他费用等相关税费，甲方不再支付结算价格以外的其他任何费用。乙方提供国家税务部门监制的销售正式发票。</w:t>
      </w:r>
    </w:p>
    <w:p>
      <w:pPr>
        <w:jc w:val="both"/>
      </w:pPr>
      <w:r>
        <w:rPr>
          <w:sz w:val="21"/>
        </w:rPr>
        <w:t>图书结算价（实洋）（人民币元）</w:t>
      </w:r>
      <w:r>
        <w:rPr>
          <w:sz w:val="21"/>
        </w:rPr>
        <w:t>=</w:t>
      </w:r>
      <w:r>
        <w:rPr>
          <w:sz w:val="21"/>
        </w:rPr>
        <w:t>图书原币价格×到馆日原币汇率×中标综合折扣率。</w:t>
      </w:r>
    </w:p>
    <w:p>
      <w:pPr>
        <w:jc w:val="both"/>
      </w:pPr>
      <w:r>
        <w:rPr>
          <w:sz w:val="21"/>
        </w:rPr>
        <w:t>图书原币价格：以出版社标价或供应商进货单据为准。</w:t>
      </w:r>
    </w:p>
    <w:p>
      <w:pPr>
        <w:jc w:val="both"/>
      </w:pPr>
      <w:r>
        <w:rPr>
          <w:sz w:val="21"/>
        </w:rPr>
        <w:t>到馆日原币汇率：指图书到馆当日的中国银行外汇卖出日均价，即当天（北京时间为准）中国银行网站上公布的相应外币的所有现汇卖出价记录之均值。甲方于收到发票</w:t>
      </w:r>
      <w:r>
        <w:rPr>
          <w:sz w:val="21"/>
        </w:rPr>
        <w:t>15</w:t>
      </w:r>
      <w:r>
        <w:rPr>
          <w:sz w:val="21"/>
        </w:rPr>
        <w:t>日内实洋付款。</w:t>
      </w:r>
    </w:p>
    <w:p>
      <w:pPr>
        <w:numPr>
          <w:ilvl w:val="0"/>
          <w:numId w:val="2"/>
        </w:numPr>
      </w:pPr>
    </w:p>
    <w:p>
      <w:pPr>
        <w:numPr>
          <w:ilvl w:val="1"/>
          <w:numId w:val="2"/>
        </w:numPr>
      </w:pPr>
      <w:r>
        <w:rPr>
          <w:sz w:val="21"/>
        </w:rPr>
        <w:t>支付方式：采用支票、银行汇付（含电汇）等形式。</w:t>
      </w:r>
    </w:p>
    <w:p>
      <w:pPr>
        <w:numPr>
          <w:ilvl w:val="1"/>
          <w:numId w:val="2"/>
        </w:numPr>
        <w:jc w:val="both"/>
      </w:pPr>
      <w:r>
        <w:rPr>
          <w:sz w:val="21"/>
        </w:rPr>
        <w:t>本合同有效期自合同签订之日起至</w:t>
      </w:r>
      <w:r>
        <w:rPr>
          <w:sz w:val="21"/>
        </w:rPr>
        <w:t xml:space="preserve">202  </w:t>
      </w:r>
      <w:r>
        <w:rPr>
          <w:sz w:val="21"/>
        </w:rPr>
        <w:t>年  月  日。</w:t>
      </w:r>
    </w:p>
    <w:p>
      <w:pPr>
        <w:ind w:firstLine="420"/>
        <w:jc w:val="left"/>
      </w:pPr>
    </w:p>
    <w:p>
      <w:pPr>
        <w:ind w:firstLine="420"/>
        <w:jc w:val="left"/>
      </w:pPr>
      <w:r>
        <w:rPr>
          <w:b/>
          <w:sz w:val="21"/>
        </w:rPr>
        <w:t>三、</w:t>
      </w:r>
      <w:r>
        <w:rPr>
          <w:sz w:val="21"/>
        </w:rPr>
        <w:t>项目技术要求</w:t>
      </w:r>
    </w:p>
    <w:p>
      <w:pPr>
        <w:jc w:val="both"/>
      </w:pPr>
      <w:r>
        <w:rPr>
          <w:sz w:val="21"/>
        </w:rPr>
        <w:t>（一）图书要求</w:t>
      </w:r>
    </w:p>
    <w:p>
      <w:pPr>
        <w:jc w:val="both"/>
      </w:pPr>
      <w:r>
        <w:rPr>
          <w:sz w:val="21"/>
        </w:rPr>
        <w:t>1</w:t>
      </w:r>
      <w:r>
        <w:rPr>
          <w:sz w:val="21"/>
        </w:rPr>
        <w:t>、书目形态：乙方应提供完全符合</w:t>
      </w:r>
      <w:r>
        <w:rPr>
          <w:sz w:val="21"/>
        </w:rPr>
        <w:t>ISO-2709</w:t>
      </w:r>
      <w:r>
        <w:rPr>
          <w:sz w:val="21"/>
        </w:rPr>
        <w:t>标准、</w:t>
      </w:r>
      <w:r>
        <w:rPr>
          <w:sz w:val="21"/>
        </w:rPr>
        <w:t>CNMARC</w:t>
      </w:r>
      <w:r>
        <w:rPr>
          <w:sz w:val="21"/>
        </w:rPr>
        <w:t>标准和西文图书著录条例的电子版书目数据；</w:t>
      </w:r>
    </w:p>
    <w:p>
      <w:pPr>
        <w:jc w:val="both"/>
      </w:pPr>
      <w:r>
        <w:rPr>
          <w:sz w:val="21"/>
        </w:rPr>
        <w:t>2</w:t>
      </w:r>
      <w:r>
        <w:rPr>
          <w:sz w:val="21"/>
        </w:rPr>
        <w:t>、出版地范围：国外（欧美国家为主）出版的外文（英文为主）原版纸质图书及港台出版的纸质图书；</w:t>
      </w:r>
    </w:p>
    <w:p>
      <w:pPr>
        <w:jc w:val="both"/>
      </w:pPr>
      <w:r>
        <w:rPr>
          <w:sz w:val="21"/>
        </w:rPr>
        <w:t>3</w:t>
      </w:r>
      <w:r>
        <w:rPr>
          <w:sz w:val="21"/>
        </w:rPr>
        <w:t>、出版时间：</w:t>
      </w:r>
      <w:r>
        <w:rPr>
          <w:sz w:val="21"/>
        </w:rPr>
        <w:t>2022</w:t>
      </w:r>
      <w:r>
        <w:rPr>
          <w:sz w:val="21"/>
        </w:rPr>
        <w:t>年</w:t>
      </w:r>
      <w:r>
        <w:rPr>
          <w:sz w:val="21"/>
        </w:rPr>
        <w:t>1</w:t>
      </w:r>
      <w:r>
        <w:rPr>
          <w:sz w:val="21"/>
        </w:rPr>
        <w:t>月至今；</w:t>
      </w:r>
    </w:p>
    <w:p>
      <w:pPr>
        <w:jc w:val="both"/>
      </w:pPr>
      <w:r>
        <w:rPr>
          <w:sz w:val="21"/>
        </w:rPr>
        <w:t>4</w:t>
      </w:r>
      <w:r>
        <w:rPr>
          <w:sz w:val="21"/>
        </w:rPr>
        <w:t>、图书外观：开本大于</w:t>
      </w:r>
      <w:r>
        <w:rPr>
          <w:sz w:val="21"/>
        </w:rPr>
        <w:t>64</w:t>
      </w:r>
      <w:r>
        <w:rPr>
          <w:sz w:val="21"/>
        </w:rPr>
        <w:t>开、页数多于</w:t>
      </w:r>
      <w:r>
        <w:rPr>
          <w:sz w:val="21"/>
        </w:rPr>
        <w:t>50</w:t>
      </w:r>
      <w:r>
        <w:rPr>
          <w:sz w:val="21"/>
        </w:rPr>
        <w:t>页、非散页装图书。</w:t>
      </w:r>
    </w:p>
    <w:p>
      <w:pPr>
        <w:jc w:val="both"/>
      </w:pPr>
      <w:r>
        <w:rPr>
          <w:sz w:val="21"/>
        </w:rPr>
        <w:t>（二）采访书目数据要求</w:t>
      </w:r>
    </w:p>
    <w:p>
      <w:pPr>
        <w:jc w:val="both"/>
      </w:pPr>
      <w:r>
        <w:rPr>
          <w:sz w:val="21"/>
        </w:rPr>
        <w:t>1</w:t>
      </w:r>
      <w:r>
        <w:rPr>
          <w:sz w:val="21"/>
        </w:rPr>
        <w:t>、乙方应提供符合甲方学校图书馆采访要求的</w:t>
      </w:r>
      <w:r>
        <w:rPr>
          <w:sz w:val="21"/>
        </w:rPr>
        <w:t>CNMARC</w:t>
      </w:r>
      <w:r>
        <w:rPr>
          <w:sz w:val="21"/>
        </w:rPr>
        <w:t>格式的采访数据，采访书目中不得含有</w:t>
      </w:r>
      <w:r>
        <w:rPr>
          <w:sz w:val="21"/>
        </w:rPr>
        <w:t>856</w:t>
      </w:r>
      <w:r>
        <w:rPr>
          <w:sz w:val="21"/>
        </w:rPr>
        <w:t>、</w:t>
      </w:r>
      <w:r>
        <w:rPr>
          <w:sz w:val="21"/>
        </w:rPr>
        <w:t>905</w:t>
      </w:r>
      <w:r>
        <w:rPr>
          <w:sz w:val="21"/>
        </w:rPr>
        <w:t>字段；</w:t>
      </w:r>
    </w:p>
    <w:p>
      <w:pPr>
        <w:jc w:val="both"/>
      </w:pPr>
      <w:r>
        <w:rPr>
          <w:sz w:val="21"/>
        </w:rPr>
        <w:t>2</w:t>
      </w:r>
      <w:r>
        <w:rPr>
          <w:sz w:val="21"/>
        </w:rPr>
        <w:t>、一个采访书目文件，仅能含同一征订书目、同一期号的文件；</w:t>
      </w:r>
    </w:p>
    <w:p>
      <w:pPr>
        <w:jc w:val="both"/>
      </w:pPr>
      <w:r>
        <w:rPr>
          <w:sz w:val="21"/>
        </w:rPr>
        <w:t>3</w:t>
      </w:r>
      <w:r>
        <w:rPr>
          <w:sz w:val="21"/>
        </w:rPr>
        <w:t>、采访书目信息应著录在</w:t>
      </w:r>
      <w:r>
        <w:rPr>
          <w:sz w:val="21"/>
        </w:rPr>
        <w:t>092</w:t>
      </w:r>
      <w:r>
        <w:rPr>
          <w:sz w:val="21"/>
        </w:rPr>
        <w:t>字段，不得在其他字段反映。</w:t>
      </w:r>
    </w:p>
    <w:p>
      <w:pPr>
        <w:jc w:val="both"/>
      </w:pPr>
      <w:r>
        <w:rPr>
          <w:sz w:val="21"/>
        </w:rPr>
        <w:t>（三）编目书目数据要求</w:t>
      </w:r>
    </w:p>
    <w:p>
      <w:pPr>
        <w:jc w:val="both"/>
      </w:pPr>
      <w:r>
        <w:rPr>
          <w:sz w:val="21"/>
        </w:rPr>
        <w:t>1</w:t>
      </w:r>
      <w:r>
        <w:rPr>
          <w:sz w:val="21"/>
        </w:rPr>
        <w:t>、随书配送</w:t>
      </w:r>
      <w:r>
        <w:rPr>
          <w:sz w:val="21"/>
        </w:rPr>
        <w:t>CNMARC</w:t>
      </w:r>
      <w:r>
        <w:rPr>
          <w:sz w:val="21"/>
        </w:rPr>
        <w:t>编目数据，数据配送率须达</w:t>
      </w:r>
      <w:r>
        <w:rPr>
          <w:sz w:val="21"/>
        </w:rPr>
        <w:t>100%</w:t>
      </w:r>
      <w:r>
        <w:rPr>
          <w:sz w:val="21"/>
        </w:rPr>
        <w:t>。数据应达到国家图书馆数据标准。</w:t>
      </w:r>
    </w:p>
    <w:p>
      <w:pPr>
        <w:jc w:val="both"/>
      </w:pPr>
      <w:r>
        <w:rPr>
          <w:sz w:val="21"/>
        </w:rPr>
        <w:t>（四）书目数量和频率</w:t>
      </w:r>
    </w:p>
    <w:p>
      <w:pPr>
        <w:jc w:val="both"/>
      </w:pPr>
      <w:r>
        <w:rPr>
          <w:sz w:val="21"/>
        </w:rPr>
        <w:t>1</w:t>
      </w:r>
      <w:r>
        <w:rPr>
          <w:sz w:val="21"/>
        </w:rPr>
        <w:t>、乙方应积极收集书目，保证在合同期内每月至少提供一期现货新书书目，每期不少于</w:t>
      </w:r>
      <w:r>
        <w:rPr>
          <w:sz w:val="21"/>
        </w:rPr>
        <w:t>400</w:t>
      </w:r>
      <w:r>
        <w:rPr>
          <w:sz w:val="21"/>
        </w:rPr>
        <w:t>种。</w:t>
      </w:r>
    </w:p>
    <w:p>
      <w:pPr>
        <w:jc w:val="both"/>
      </w:pPr>
      <w:r>
        <w:rPr>
          <w:sz w:val="21"/>
        </w:rPr>
        <w:t>2</w:t>
      </w:r>
      <w:r>
        <w:rPr>
          <w:sz w:val="21"/>
        </w:rPr>
        <w:t>、乙方应接受甲方提供的零散订单并积极配书。</w:t>
      </w:r>
    </w:p>
    <w:p>
      <w:pPr>
        <w:jc w:val="both"/>
      </w:pPr>
      <w:r>
        <w:rPr>
          <w:sz w:val="21"/>
        </w:rPr>
        <w:t>（五）到书率</w:t>
      </w:r>
    </w:p>
    <w:p>
      <w:pPr>
        <w:jc w:val="both"/>
      </w:pPr>
      <w:r>
        <w:rPr>
          <w:sz w:val="21"/>
        </w:rPr>
        <w:t>1</w:t>
      </w:r>
      <w:r>
        <w:rPr>
          <w:sz w:val="21"/>
        </w:rPr>
        <w:t>、乙方应保证图书的到书率从质和量上准确无误，高效快捷，无误投。到书率须达到</w:t>
      </w:r>
      <w:r>
        <w:rPr>
          <w:sz w:val="21"/>
        </w:rPr>
        <w:t>90%</w:t>
      </w:r>
      <w:r>
        <w:rPr>
          <w:sz w:val="21"/>
        </w:rPr>
        <w:t>（取消出版计划等情况除外）。</w:t>
      </w:r>
    </w:p>
    <w:p>
      <w:pPr>
        <w:jc w:val="both"/>
      </w:pPr>
      <w:r>
        <w:rPr>
          <w:sz w:val="21"/>
        </w:rPr>
        <w:t>（六）订准率</w:t>
      </w:r>
    </w:p>
    <w:p>
      <w:pPr>
        <w:jc w:val="both"/>
      </w:pPr>
      <w:r>
        <w:rPr>
          <w:sz w:val="21"/>
        </w:rPr>
        <w:t>1</w:t>
      </w:r>
      <w:r>
        <w:rPr>
          <w:sz w:val="21"/>
        </w:rPr>
        <w:t>、要求乙方严格按照订单发书，不允许任意搭配图书，非甲方订购的图书一律退回。</w:t>
      </w:r>
    </w:p>
    <w:p>
      <w:pPr>
        <w:jc w:val="both"/>
      </w:pPr>
      <w:r>
        <w:rPr>
          <w:sz w:val="21"/>
        </w:rPr>
        <w:t>（七）涨价率</w:t>
      </w:r>
    </w:p>
    <w:p>
      <w:pPr>
        <w:jc w:val="both"/>
      </w:pPr>
      <w:r>
        <w:rPr>
          <w:sz w:val="21"/>
        </w:rPr>
        <w:t>1</w:t>
      </w:r>
      <w:r>
        <w:rPr>
          <w:sz w:val="21"/>
        </w:rPr>
        <w:t>、图书实际出版价格上涨超过征订目录价格</w:t>
      </w:r>
      <w:r>
        <w:rPr>
          <w:sz w:val="21"/>
        </w:rPr>
        <w:t>40</w:t>
      </w:r>
      <w:r>
        <w:rPr>
          <w:sz w:val="21"/>
        </w:rPr>
        <w:t>％应通知甲方，询问是否继续订购。</w:t>
      </w:r>
    </w:p>
    <w:p>
      <w:pPr>
        <w:jc w:val="both"/>
      </w:pPr>
      <w:r>
        <w:rPr>
          <w:sz w:val="21"/>
        </w:rPr>
        <w:t>（八）到书周期</w:t>
      </w:r>
    </w:p>
    <w:p>
      <w:pPr>
        <w:jc w:val="both"/>
      </w:pPr>
      <w:r>
        <w:rPr>
          <w:sz w:val="21"/>
        </w:rPr>
        <w:t>1</w:t>
      </w:r>
      <w:r>
        <w:rPr>
          <w:sz w:val="21"/>
        </w:rPr>
        <w:t>、现货：收到订单后</w:t>
      </w:r>
      <w:r>
        <w:rPr>
          <w:sz w:val="21"/>
        </w:rPr>
        <w:t>30</w:t>
      </w:r>
      <w:r>
        <w:rPr>
          <w:sz w:val="21"/>
        </w:rPr>
        <w:t>天内交货</w:t>
      </w:r>
      <w:r>
        <w:rPr>
          <w:sz w:val="21"/>
        </w:rPr>
        <w:t>100%</w:t>
      </w:r>
      <w:r>
        <w:rPr>
          <w:sz w:val="21"/>
        </w:rPr>
        <w:t>。</w:t>
      </w:r>
    </w:p>
    <w:p>
      <w:pPr>
        <w:jc w:val="both"/>
      </w:pPr>
      <w:r>
        <w:rPr>
          <w:sz w:val="21"/>
        </w:rPr>
        <w:t>2</w:t>
      </w:r>
      <w:r>
        <w:rPr>
          <w:sz w:val="21"/>
        </w:rPr>
        <w:t>、期货：收到订单</w:t>
      </w:r>
      <w:r>
        <w:rPr>
          <w:sz w:val="21"/>
        </w:rPr>
        <w:t>6</w:t>
      </w:r>
      <w:r>
        <w:rPr>
          <w:sz w:val="21"/>
        </w:rPr>
        <w:t>个月内到书</w:t>
      </w:r>
      <w:r>
        <w:rPr>
          <w:sz w:val="21"/>
        </w:rPr>
        <w:t>85%</w:t>
      </w:r>
      <w:r>
        <w:rPr>
          <w:sz w:val="21"/>
        </w:rPr>
        <w:t>以上。</w:t>
      </w:r>
    </w:p>
    <w:p>
      <w:pPr>
        <w:jc w:val="both"/>
      </w:pPr>
      <w:r>
        <w:rPr>
          <w:sz w:val="21"/>
        </w:rPr>
        <w:t>四、服务要求</w:t>
      </w:r>
    </w:p>
    <w:p>
      <w:pPr>
        <w:jc w:val="both"/>
      </w:pPr>
      <w:r>
        <w:rPr>
          <w:sz w:val="21"/>
        </w:rPr>
        <w:t>(</w:t>
      </w:r>
      <w:r>
        <w:rPr>
          <w:sz w:val="21"/>
        </w:rPr>
        <w:t>一</w:t>
      </w:r>
      <w:r>
        <w:rPr>
          <w:sz w:val="21"/>
        </w:rPr>
        <w:t>)</w:t>
      </w:r>
      <w:r>
        <w:rPr>
          <w:sz w:val="21"/>
        </w:rPr>
        <w:t>供货要求</w:t>
      </w:r>
    </w:p>
    <w:p>
      <w:pPr>
        <w:jc w:val="both"/>
      </w:pPr>
      <w:r>
        <w:rPr>
          <w:sz w:val="21"/>
        </w:rPr>
        <w:t>1</w:t>
      </w:r>
      <w:r>
        <w:rPr>
          <w:sz w:val="21"/>
        </w:rPr>
        <w:t>、</w:t>
      </w:r>
      <w:r>
        <w:rPr>
          <w:sz w:val="21"/>
        </w:rPr>
        <w:t>乙方</w:t>
      </w:r>
      <w:r>
        <w:rPr>
          <w:sz w:val="21"/>
        </w:rPr>
        <w:t>在每批图书发货一天前用电话或</w:t>
      </w:r>
      <w:r>
        <w:rPr>
          <w:sz w:val="21"/>
        </w:rPr>
        <w:t>Email</w:t>
      </w:r>
      <w:r>
        <w:rPr>
          <w:sz w:val="21"/>
        </w:rPr>
        <w:t>形式通知</w:t>
      </w:r>
      <w:r>
        <w:rPr>
          <w:sz w:val="21"/>
        </w:rPr>
        <w:t>甲方</w:t>
      </w:r>
      <w:r>
        <w:rPr>
          <w:sz w:val="21"/>
        </w:rPr>
        <w:t>并负责送书上门，所有图书必须按满足运输距离、防湿和防破损等运输和装卸要求打包送到</w:t>
      </w:r>
      <w:r>
        <w:rPr>
          <w:sz w:val="21"/>
        </w:rPr>
        <w:t>甲方</w:t>
      </w:r>
      <w:r>
        <w:rPr>
          <w:sz w:val="21"/>
        </w:rPr>
        <w:t>指定地点（</w:t>
      </w:r>
      <w:r>
        <w:rPr>
          <w:sz w:val="21"/>
        </w:rPr>
        <w:t>乙方</w:t>
      </w:r>
      <w:r>
        <w:rPr>
          <w:sz w:val="21"/>
        </w:rPr>
        <w:t>提供</w:t>
      </w:r>
      <w:r>
        <w:rPr>
          <w:sz w:val="21"/>
        </w:rPr>
        <w:t>无条件</w:t>
      </w:r>
      <w:r>
        <w:rPr>
          <w:sz w:val="21"/>
        </w:rPr>
        <w:t>送书、卸货、搬运等），并提供纸质图书发货清单，一包一单，一式两份。</w:t>
      </w:r>
    </w:p>
    <w:p>
      <w:pPr>
        <w:jc w:val="both"/>
      </w:pPr>
      <w:r>
        <w:rPr>
          <w:sz w:val="21"/>
        </w:rPr>
        <w:t>2</w:t>
      </w:r>
      <w:r>
        <w:rPr>
          <w:sz w:val="21"/>
        </w:rPr>
        <w:t>、发货清单应包括下列项目：购货单位、批次、制单日期、箱号、书名、</w:t>
      </w:r>
      <w:r>
        <w:rPr>
          <w:sz w:val="21"/>
        </w:rPr>
        <w:t>ISBN</w:t>
      </w:r>
      <w:r>
        <w:rPr>
          <w:sz w:val="21"/>
        </w:rPr>
        <w:t>、出版社、单价、册数、码洋、书目号等。每包有小计，包括种数、册数、本包码洋。</w:t>
      </w:r>
    </w:p>
    <w:p>
      <w:pPr>
        <w:jc w:val="both"/>
      </w:pPr>
      <w:r>
        <w:rPr>
          <w:sz w:val="21"/>
        </w:rPr>
        <w:t>3</w:t>
      </w:r>
      <w:r>
        <w:rPr>
          <w:sz w:val="21"/>
        </w:rPr>
        <w:t>、整批图书有合计，合计内容为此批图书的总种数、总册数和总码洋。</w:t>
      </w:r>
    </w:p>
    <w:p>
      <w:pPr>
        <w:jc w:val="both"/>
      </w:pPr>
      <w:r>
        <w:rPr>
          <w:sz w:val="21"/>
        </w:rPr>
        <w:t>4</w:t>
      </w:r>
      <w:r>
        <w:rPr>
          <w:sz w:val="21"/>
        </w:rPr>
        <w:t>、一份清单分别附于各包装货件内，另一份是以箱号为序的总清单，货单相符。</w:t>
      </w:r>
    </w:p>
    <w:p>
      <w:pPr>
        <w:jc w:val="both"/>
      </w:pPr>
      <w:r>
        <w:rPr>
          <w:sz w:val="21"/>
        </w:rPr>
        <w:t>（二）图书质量</w:t>
      </w:r>
    </w:p>
    <w:p>
      <w:pPr>
        <w:jc w:val="both"/>
      </w:pPr>
      <w:r>
        <w:rPr>
          <w:sz w:val="21"/>
        </w:rPr>
        <w:t>1</w:t>
      </w:r>
      <w:r>
        <w:rPr>
          <w:sz w:val="21"/>
        </w:rPr>
        <w:t>、</w:t>
      </w:r>
      <w:r>
        <w:rPr>
          <w:sz w:val="21"/>
        </w:rPr>
        <w:t>乙方</w:t>
      </w:r>
      <w:r>
        <w:rPr>
          <w:sz w:val="21"/>
        </w:rPr>
        <w:t>须保证销售正版图书，对盗版图书</w:t>
      </w:r>
      <w:r>
        <w:rPr>
          <w:sz w:val="21"/>
        </w:rPr>
        <w:t>甲方</w:t>
      </w:r>
      <w:r>
        <w:rPr>
          <w:sz w:val="21"/>
        </w:rPr>
        <w:t>拒绝验收，</w:t>
      </w:r>
      <w:r>
        <w:rPr>
          <w:sz w:val="21"/>
        </w:rPr>
        <w:t>乙方</w:t>
      </w:r>
      <w:r>
        <w:rPr>
          <w:sz w:val="21"/>
        </w:rPr>
        <w:t>应当接受无条件退货，并承担一切法律责任，由此而造成</w:t>
      </w:r>
      <w:r>
        <w:rPr>
          <w:sz w:val="21"/>
        </w:rPr>
        <w:t>甲方向行政机关或第三人承担行政、民事责任或有其他</w:t>
      </w:r>
      <w:r>
        <w:rPr>
          <w:sz w:val="21"/>
        </w:rPr>
        <w:t>损失的，</w:t>
      </w:r>
      <w:r>
        <w:rPr>
          <w:sz w:val="21"/>
        </w:rPr>
        <w:t>甲方有权向乙方追偿</w:t>
      </w:r>
      <w:r>
        <w:rPr>
          <w:sz w:val="21"/>
        </w:rPr>
        <w:t>。</w:t>
      </w:r>
    </w:p>
    <w:p>
      <w:pPr>
        <w:jc w:val="both"/>
      </w:pPr>
      <w:r>
        <w:rPr>
          <w:sz w:val="21"/>
        </w:rPr>
        <w:t>2</w:t>
      </w:r>
      <w:r>
        <w:rPr>
          <w:sz w:val="21"/>
        </w:rPr>
        <w:t>、图书到货后发现任何质量问题，如破损、重订或者投递与所订品种、复本数量、随刊光盘</w:t>
      </w:r>
      <w:r>
        <w:rPr>
          <w:sz w:val="21"/>
        </w:rPr>
        <w:t>/</w:t>
      </w:r>
      <w:r>
        <w:rPr>
          <w:sz w:val="21"/>
        </w:rPr>
        <w:t>磁盘</w:t>
      </w:r>
      <w:r>
        <w:rPr>
          <w:sz w:val="21"/>
        </w:rPr>
        <w:t>/</w:t>
      </w:r>
      <w:r>
        <w:rPr>
          <w:sz w:val="21"/>
        </w:rPr>
        <w:t>磁带等不符的情况时，无论是否已作前期加工，</w:t>
      </w:r>
      <w:r>
        <w:rPr>
          <w:sz w:val="21"/>
        </w:rPr>
        <w:t>乙方</w:t>
      </w:r>
      <w:r>
        <w:rPr>
          <w:sz w:val="21"/>
        </w:rPr>
        <w:t>应全部无条件退换。</w:t>
      </w:r>
    </w:p>
    <w:p>
      <w:pPr>
        <w:jc w:val="both"/>
      </w:pPr>
      <w:r>
        <w:rPr>
          <w:sz w:val="21"/>
        </w:rPr>
        <w:t>（三）图书退换</w:t>
      </w:r>
    </w:p>
    <w:p>
      <w:pPr>
        <w:jc w:val="both"/>
      </w:pPr>
      <w:r>
        <w:rPr>
          <w:sz w:val="21"/>
        </w:rPr>
        <w:t>1</w:t>
      </w:r>
      <w:r>
        <w:rPr>
          <w:sz w:val="21"/>
        </w:rPr>
        <w:t>、</w:t>
      </w:r>
      <w:r>
        <w:rPr>
          <w:sz w:val="21"/>
        </w:rPr>
        <w:t>图书出现下列任一情况，</w:t>
      </w:r>
      <w:r>
        <w:rPr>
          <w:sz w:val="21"/>
        </w:rPr>
        <w:t>乙方</w:t>
      </w:r>
      <w:r>
        <w:rPr>
          <w:sz w:val="21"/>
        </w:rPr>
        <w:t>须无条件负责退换。</w:t>
      </w:r>
      <w:r>
        <w:rPr>
          <w:sz w:val="21"/>
        </w:rPr>
        <w:t>退换产生的费用由乙方承担。</w:t>
      </w:r>
    </w:p>
    <w:p>
      <w:pPr>
        <w:jc w:val="both"/>
      </w:pPr>
      <w:r>
        <w:rPr>
          <w:sz w:val="21"/>
        </w:rPr>
        <w:t>（</w:t>
      </w:r>
      <w:r>
        <w:rPr>
          <w:sz w:val="21"/>
        </w:rPr>
        <w:t>1</w:t>
      </w:r>
      <w:r>
        <w:rPr>
          <w:sz w:val="21"/>
        </w:rPr>
        <w:t>）盗版图书；</w:t>
      </w:r>
    </w:p>
    <w:p>
      <w:pPr>
        <w:jc w:val="both"/>
      </w:pPr>
      <w:r>
        <w:rPr>
          <w:sz w:val="21"/>
        </w:rPr>
        <w:t>（</w:t>
      </w:r>
      <w:r>
        <w:rPr>
          <w:sz w:val="21"/>
        </w:rPr>
        <w:t>2</w:t>
      </w:r>
      <w:r>
        <w:rPr>
          <w:sz w:val="21"/>
        </w:rPr>
        <w:t>）出现装订、印刷质量问题和损坏；</w:t>
      </w:r>
    </w:p>
    <w:p>
      <w:pPr>
        <w:jc w:val="both"/>
      </w:pPr>
      <w:r>
        <w:rPr>
          <w:sz w:val="21"/>
        </w:rPr>
        <w:t>（</w:t>
      </w:r>
      <w:r>
        <w:rPr>
          <w:sz w:val="21"/>
        </w:rPr>
        <w:t>3</w:t>
      </w:r>
      <w:r>
        <w:rPr>
          <w:sz w:val="21"/>
        </w:rPr>
        <w:t>）配套不齐全；</w:t>
      </w:r>
    </w:p>
    <w:p>
      <w:pPr>
        <w:jc w:val="both"/>
      </w:pPr>
      <w:r>
        <w:rPr>
          <w:sz w:val="21"/>
        </w:rPr>
        <w:t>（</w:t>
      </w:r>
      <w:r>
        <w:rPr>
          <w:sz w:val="21"/>
        </w:rPr>
        <w:t>4</w:t>
      </w:r>
      <w:r>
        <w:rPr>
          <w:sz w:val="21"/>
        </w:rPr>
        <w:t>）提供的品种和数量与订货单不符；</w:t>
      </w:r>
    </w:p>
    <w:p>
      <w:pPr>
        <w:jc w:val="both"/>
      </w:pPr>
      <w:r>
        <w:rPr>
          <w:sz w:val="21"/>
        </w:rPr>
        <w:t>（</w:t>
      </w:r>
      <w:r>
        <w:rPr>
          <w:sz w:val="21"/>
        </w:rPr>
        <w:t>5</w:t>
      </w:r>
      <w:r>
        <w:rPr>
          <w:sz w:val="21"/>
        </w:rPr>
        <w:t>）因内容、开本、页数等等原因不符合</w:t>
      </w:r>
      <w:r>
        <w:rPr>
          <w:sz w:val="21"/>
        </w:rPr>
        <w:t>甲方学校</w:t>
      </w:r>
      <w:r>
        <w:rPr>
          <w:sz w:val="21"/>
        </w:rPr>
        <w:t>图书馆馆藏要求；</w:t>
      </w:r>
    </w:p>
    <w:p>
      <w:pPr>
        <w:jc w:val="both"/>
      </w:pPr>
      <w:r>
        <w:rPr>
          <w:sz w:val="21"/>
        </w:rPr>
        <w:t>（</w:t>
      </w:r>
      <w:r>
        <w:rPr>
          <w:sz w:val="21"/>
        </w:rPr>
        <w:t>6</w:t>
      </w:r>
      <w:r>
        <w:rPr>
          <w:sz w:val="21"/>
        </w:rPr>
        <w:t>）因</w:t>
      </w:r>
      <w:r>
        <w:rPr>
          <w:sz w:val="21"/>
        </w:rPr>
        <w:t>乙方</w:t>
      </w:r>
      <w:r>
        <w:rPr>
          <w:sz w:val="21"/>
        </w:rPr>
        <w:t>提供的书目信息错漏而导致</w:t>
      </w:r>
      <w:r>
        <w:rPr>
          <w:sz w:val="21"/>
        </w:rPr>
        <w:t>甲方</w:t>
      </w:r>
      <w:r>
        <w:rPr>
          <w:sz w:val="21"/>
        </w:rPr>
        <w:t>误订；</w:t>
      </w:r>
    </w:p>
    <w:p>
      <w:pPr>
        <w:jc w:val="both"/>
      </w:pPr>
      <w:r>
        <w:rPr>
          <w:sz w:val="21"/>
        </w:rPr>
        <w:t>（</w:t>
      </w:r>
      <w:r>
        <w:rPr>
          <w:sz w:val="21"/>
        </w:rPr>
        <w:t>7</w:t>
      </w:r>
      <w:r>
        <w:rPr>
          <w:sz w:val="21"/>
        </w:rPr>
        <w:t>）</w:t>
      </w:r>
      <w:r>
        <w:rPr>
          <w:sz w:val="21"/>
        </w:rPr>
        <w:t>甲方</w:t>
      </w:r>
      <w:r>
        <w:rPr>
          <w:sz w:val="21"/>
        </w:rPr>
        <w:t>认为必须退书的其它情况。</w:t>
      </w:r>
    </w:p>
    <w:p>
      <w:pPr>
        <w:jc w:val="both"/>
      </w:pPr>
      <w:r>
        <w:rPr>
          <w:sz w:val="21"/>
        </w:rPr>
        <w:t>（四）图书验收</w:t>
      </w:r>
    </w:p>
    <w:p>
      <w:pPr>
        <w:jc w:val="both"/>
      </w:pPr>
      <w:r>
        <w:rPr>
          <w:sz w:val="21"/>
        </w:rPr>
        <w:t>图书验收以</w:t>
      </w:r>
      <w:r>
        <w:rPr>
          <w:sz w:val="21"/>
        </w:rPr>
        <w:t>甲方</w:t>
      </w:r>
      <w:r>
        <w:rPr>
          <w:sz w:val="21"/>
        </w:rPr>
        <w:t>最终的验收结果为准。</w:t>
      </w:r>
    </w:p>
    <w:p>
      <w:pPr>
        <w:jc w:val="both"/>
      </w:pPr>
      <w:r>
        <w:rPr>
          <w:sz w:val="21"/>
        </w:rPr>
        <w:t>1</w:t>
      </w:r>
      <w:r>
        <w:rPr>
          <w:sz w:val="21"/>
        </w:rPr>
        <w:t>、所有送达图书馆的图书的品种及复本数量均由</w:t>
      </w:r>
      <w:r>
        <w:rPr>
          <w:sz w:val="21"/>
        </w:rPr>
        <w:t>甲方</w:t>
      </w:r>
      <w:r>
        <w:rPr>
          <w:sz w:val="21"/>
        </w:rPr>
        <w:t>决定，</w:t>
      </w:r>
      <w:r>
        <w:rPr>
          <w:sz w:val="21"/>
        </w:rPr>
        <w:t>乙方</w:t>
      </w:r>
      <w:r>
        <w:rPr>
          <w:sz w:val="21"/>
        </w:rPr>
        <w:t>不得自行搭配和追加非</w:t>
      </w:r>
      <w:r>
        <w:rPr>
          <w:sz w:val="21"/>
        </w:rPr>
        <w:t>甲方</w:t>
      </w:r>
      <w:r>
        <w:rPr>
          <w:sz w:val="21"/>
        </w:rPr>
        <w:t>确认订购的品种和复本数量的图书。</w:t>
      </w:r>
      <w:r>
        <w:rPr>
          <w:sz w:val="21"/>
        </w:rPr>
        <w:t>乙方</w:t>
      </w:r>
      <w:r>
        <w:rPr>
          <w:sz w:val="21"/>
        </w:rPr>
        <w:t>强硬搭配的图书，</w:t>
      </w:r>
      <w:r>
        <w:rPr>
          <w:sz w:val="21"/>
        </w:rPr>
        <w:t>甲方</w:t>
      </w:r>
      <w:r>
        <w:rPr>
          <w:sz w:val="21"/>
        </w:rPr>
        <w:t>有权按学校规定的图书捐赠制度处理。</w:t>
      </w:r>
    </w:p>
    <w:p>
      <w:pPr>
        <w:jc w:val="both"/>
      </w:pPr>
      <w:r>
        <w:rPr>
          <w:sz w:val="21"/>
        </w:rPr>
        <w:t>2</w:t>
      </w:r>
      <w:r>
        <w:rPr>
          <w:sz w:val="21"/>
        </w:rPr>
        <w:t>、</w:t>
      </w:r>
      <w:r>
        <w:rPr>
          <w:sz w:val="21"/>
        </w:rPr>
        <w:t>乙方</w:t>
      </w:r>
      <w:r>
        <w:rPr>
          <w:sz w:val="21"/>
        </w:rPr>
        <w:t>须保证销售正版图书，保证所供应图书的版本与进书来源合法，并对所供应的图书版本、知识产权、进货来源承担相应的法律责任。如发现盗版现象，按盗版书涉及金额的</w:t>
      </w:r>
      <w:r>
        <w:rPr>
          <w:sz w:val="21"/>
        </w:rPr>
        <w:t>100</w:t>
      </w:r>
      <w:r>
        <w:rPr>
          <w:sz w:val="21"/>
        </w:rPr>
        <w:t>倍进行赔偿，并由</w:t>
      </w:r>
      <w:r>
        <w:rPr>
          <w:sz w:val="21"/>
        </w:rPr>
        <w:t>乙方</w:t>
      </w:r>
      <w:r>
        <w:rPr>
          <w:sz w:val="21"/>
        </w:rPr>
        <w:t>负全部法律责任。</w:t>
      </w:r>
    </w:p>
    <w:p>
      <w:pPr>
        <w:jc w:val="both"/>
      </w:pPr>
      <w:r>
        <w:rPr>
          <w:sz w:val="21"/>
        </w:rPr>
        <w:t>3</w:t>
      </w:r>
      <w:r>
        <w:rPr>
          <w:sz w:val="21"/>
        </w:rPr>
        <w:t>、如出现图书装订、印刷、缺页、少页和污损等不符合图书馆藏书要求的图书，</w:t>
      </w:r>
      <w:r>
        <w:rPr>
          <w:sz w:val="21"/>
        </w:rPr>
        <w:t>乙方</w:t>
      </w:r>
      <w:r>
        <w:rPr>
          <w:sz w:val="21"/>
        </w:rPr>
        <w:t>须在</w:t>
      </w:r>
      <w:r>
        <w:rPr>
          <w:sz w:val="21"/>
        </w:rPr>
        <w:t>20</w:t>
      </w:r>
      <w:r>
        <w:rPr>
          <w:sz w:val="21"/>
        </w:rPr>
        <w:t>天内无条件给予退货。</w:t>
      </w:r>
    </w:p>
    <w:p>
      <w:pPr>
        <w:jc w:val="both"/>
      </w:pPr>
      <w:r>
        <w:rPr>
          <w:sz w:val="21"/>
        </w:rPr>
        <w:t>4</w:t>
      </w:r>
      <w:r>
        <w:rPr>
          <w:sz w:val="21"/>
        </w:rPr>
        <w:t>、图书要求无偿提供随书</w:t>
      </w:r>
      <w:r>
        <w:rPr>
          <w:sz w:val="21"/>
        </w:rPr>
        <w:t>100%</w:t>
      </w:r>
      <w:r>
        <w:rPr>
          <w:sz w:val="21"/>
        </w:rPr>
        <w:t>配套、且符合要求的标准</w:t>
      </w:r>
      <w:r>
        <w:rPr>
          <w:sz w:val="21"/>
        </w:rPr>
        <w:t>CNMARC</w:t>
      </w:r>
      <w:r>
        <w:rPr>
          <w:sz w:val="21"/>
        </w:rPr>
        <w:t>编目数据，编目数据以光盘或电子邮件方式提供，由</w:t>
      </w:r>
      <w:r>
        <w:rPr>
          <w:sz w:val="21"/>
        </w:rPr>
        <w:t>甲方</w:t>
      </w:r>
      <w:r>
        <w:rPr>
          <w:sz w:val="21"/>
        </w:rPr>
        <w:t>负责转入本馆系统。</w:t>
      </w:r>
    </w:p>
    <w:p>
      <w:pPr>
        <w:jc w:val="both"/>
      </w:pPr>
      <w:r>
        <w:rPr>
          <w:sz w:val="21"/>
        </w:rPr>
        <w:t>（五）</w:t>
      </w:r>
      <w:r>
        <w:rPr>
          <w:sz w:val="21"/>
        </w:rPr>
        <w:t>乙方</w:t>
      </w:r>
      <w:r>
        <w:rPr>
          <w:sz w:val="21"/>
        </w:rPr>
        <w:t>要求</w:t>
      </w:r>
    </w:p>
    <w:p>
      <w:pPr>
        <w:jc w:val="both"/>
      </w:pPr>
      <w:r>
        <w:rPr>
          <w:sz w:val="21"/>
        </w:rPr>
        <w:t>1</w:t>
      </w:r>
      <w:r>
        <w:rPr>
          <w:sz w:val="21"/>
        </w:rPr>
        <w:t>、</w:t>
      </w:r>
      <w:r>
        <w:rPr>
          <w:sz w:val="21"/>
        </w:rPr>
        <w:t>乙方</w:t>
      </w:r>
      <w:r>
        <w:rPr>
          <w:sz w:val="21"/>
        </w:rPr>
        <w:t>具有履行合同的能力，包括</w:t>
      </w:r>
      <w:r>
        <w:rPr>
          <w:sz w:val="21"/>
        </w:rPr>
        <w:t>但不限于</w:t>
      </w:r>
      <w:r>
        <w:rPr>
          <w:sz w:val="21"/>
        </w:rPr>
        <w:t>原版外文期刊的订购、配送能力、专业技术人员、质量保证能力和资信。</w:t>
      </w:r>
    </w:p>
    <w:p>
      <w:pPr>
        <w:jc w:val="both"/>
      </w:pPr>
      <w:r>
        <w:rPr>
          <w:sz w:val="21"/>
        </w:rPr>
        <w:t>2</w:t>
      </w:r>
      <w:r>
        <w:rPr>
          <w:sz w:val="21"/>
        </w:rPr>
        <w:t>、</w:t>
      </w:r>
      <w:r>
        <w:rPr>
          <w:sz w:val="21"/>
        </w:rPr>
        <w:t>乙方</w:t>
      </w:r>
      <w:r>
        <w:rPr>
          <w:sz w:val="21"/>
        </w:rPr>
        <w:t>须按</w:t>
      </w:r>
      <w:r>
        <w:rPr>
          <w:sz w:val="21"/>
        </w:rPr>
        <w:t>甲方</w:t>
      </w:r>
      <w:r>
        <w:rPr>
          <w:sz w:val="21"/>
        </w:rPr>
        <w:t>订购的图书品种、数量及时供货，除出版推迟或发生影响协议履行的不可抗力事情外，若不能按时供货的图书种数或册数超过订单订购数的</w:t>
      </w:r>
      <w:r>
        <w:rPr>
          <w:sz w:val="21"/>
        </w:rPr>
        <w:t>20%</w:t>
      </w:r>
      <w:r>
        <w:rPr>
          <w:sz w:val="21"/>
        </w:rPr>
        <w:t>即可认定</w:t>
      </w:r>
      <w:r>
        <w:rPr>
          <w:sz w:val="21"/>
        </w:rPr>
        <w:t>乙方</w:t>
      </w:r>
      <w:r>
        <w:rPr>
          <w:sz w:val="21"/>
        </w:rPr>
        <w:t>不具备供货条件。一旦</w:t>
      </w:r>
      <w:r>
        <w:rPr>
          <w:sz w:val="21"/>
        </w:rPr>
        <w:t>甲方</w:t>
      </w:r>
      <w:r>
        <w:rPr>
          <w:sz w:val="21"/>
        </w:rPr>
        <w:t>提出终止供货的要求，</w:t>
      </w:r>
      <w:r>
        <w:rPr>
          <w:sz w:val="21"/>
        </w:rPr>
        <w:t>乙方</w:t>
      </w:r>
      <w:r>
        <w:rPr>
          <w:sz w:val="21"/>
        </w:rPr>
        <w:t>须无条件接受，终止供货造成的损失由</w:t>
      </w:r>
      <w:r>
        <w:rPr>
          <w:sz w:val="21"/>
        </w:rPr>
        <w:t>乙方</w:t>
      </w:r>
      <w:r>
        <w:rPr>
          <w:sz w:val="21"/>
        </w:rPr>
        <w:t>承担。为尽可能消除因</w:t>
      </w:r>
      <w:r>
        <w:rPr>
          <w:sz w:val="21"/>
        </w:rPr>
        <w:t>乙方</w:t>
      </w:r>
      <w:r>
        <w:rPr>
          <w:sz w:val="21"/>
        </w:rPr>
        <w:t>不能按协议规定要求对</w:t>
      </w:r>
      <w:r>
        <w:rPr>
          <w:sz w:val="21"/>
        </w:rPr>
        <w:t>甲方</w:t>
      </w:r>
      <w:r>
        <w:rPr>
          <w:sz w:val="21"/>
        </w:rPr>
        <w:t>所造成的影响，</w:t>
      </w:r>
      <w:r>
        <w:rPr>
          <w:sz w:val="21"/>
        </w:rPr>
        <w:t>乙方</w:t>
      </w:r>
      <w:r>
        <w:rPr>
          <w:sz w:val="21"/>
        </w:rPr>
        <w:t>有义务采取相应的补救措施（如直接向出版商邮购图书或向其他</w:t>
      </w:r>
      <w:r>
        <w:rPr>
          <w:sz w:val="21"/>
        </w:rPr>
        <w:t>方</w:t>
      </w:r>
      <w:r>
        <w:rPr>
          <w:sz w:val="21"/>
        </w:rPr>
        <w:t>补订图书），由此给</w:t>
      </w:r>
      <w:r>
        <w:rPr>
          <w:sz w:val="21"/>
        </w:rPr>
        <w:t>甲方</w:t>
      </w:r>
      <w:r>
        <w:rPr>
          <w:sz w:val="21"/>
        </w:rPr>
        <w:t>造成的各项损失或增加的各项费用（</w:t>
      </w:r>
      <w:r>
        <w:rPr>
          <w:sz w:val="21"/>
        </w:rPr>
        <w:t>包括但不限于</w:t>
      </w:r>
      <w:r>
        <w:rPr>
          <w:sz w:val="21"/>
        </w:rPr>
        <w:t>邮费、数据费、加工费</w:t>
      </w:r>
      <w:r>
        <w:rPr>
          <w:sz w:val="21"/>
        </w:rPr>
        <w:t>、图书差价</w:t>
      </w:r>
      <w:r>
        <w:rPr>
          <w:sz w:val="21"/>
        </w:rPr>
        <w:t>）等均由违约的</w:t>
      </w:r>
      <w:r>
        <w:rPr>
          <w:sz w:val="21"/>
        </w:rPr>
        <w:t>乙方</w:t>
      </w:r>
      <w:r>
        <w:rPr>
          <w:sz w:val="21"/>
        </w:rPr>
        <w:t>承担。</w:t>
      </w:r>
    </w:p>
    <w:p>
      <w:pPr>
        <w:jc w:val="both"/>
      </w:pPr>
      <w:r>
        <w:rPr>
          <w:sz w:val="21"/>
        </w:rPr>
        <w:t>3</w:t>
      </w:r>
      <w:r>
        <w:rPr>
          <w:sz w:val="21"/>
        </w:rPr>
        <w:t>、</w:t>
      </w:r>
      <w:r>
        <w:rPr>
          <w:sz w:val="21"/>
        </w:rPr>
        <w:t>甲方</w:t>
      </w:r>
      <w:r>
        <w:rPr>
          <w:sz w:val="21"/>
        </w:rPr>
        <w:t>所订图书，</w:t>
      </w:r>
      <w:r>
        <w:rPr>
          <w:sz w:val="21"/>
        </w:rPr>
        <w:t>乙方</w:t>
      </w:r>
      <w:r>
        <w:rPr>
          <w:sz w:val="21"/>
        </w:rPr>
        <w:t>需负责安装复合型钴基可充消防盗磁条。每册图书至少贴一根磁条，</w:t>
      </w:r>
      <w:r>
        <w:rPr>
          <w:sz w:val="21"/>
        </w:rPr>
        <w:t>300</w:t>
      </w:r>
      <w:r>
        <w:rPr>
          <w:sz w:val="21"/>
        </w:rPr>
        <w:t>页以上图书需贴两根。若贴一根磁条，需将防盗磁条装在图书前面约</w:t>
      </w:r>
      <w:r>
        <w:rPr>
          <w:sz w:val="21"/>
        </w:rPr>
        <w:t>1/3</w:t>
      </w:r>
      <w:r>
        <w:rPr>
          <w:sz w:val="21"/>
        </w:rPr>
        <w:t>页码处，若贴两根磁条，则将需防盗磁条分别装在图书前面约</w:t>
      </w:r>
      <w:r>
        <w:rPr>
          <w:sz w:val="21"/>
        </w:rPr>
        <w:t>1/3</w:t>
      </w:r>
      <w:r>
        <w:rPr>
          <w:sz w:val="21"/>
        </w:rPr>
        <w:t>页码处和图书后面约</w:t>
      </w:r>
      <w:r>
        <w:rPr>
          <w:sz w:val="21"/>
        </w:rPr>
        <w:t>1/3</w:t>
      </w:r>
      <w:r>
        <w:rPr>
          <w:sz w:val="21"/>
        </w:rPr>
        <w:t>页码处。</w:t>
      </w:r>
    </w:p>
    <w:p>
      <w:pPr>
        <w:jc w:val="both"/>
      </w:pPr>
      <w:r>
        <w:rPr>
          <w:sz w:val="21"/>
        </w:rPr>
        <w:t>4</w:t>
      </w:r>
      <w:r>
        <w:rPr>
          <w:sz w:val="21"/>
        </w:rPr>
        <w:t>、实际操作过程中出现以上未列明的其他问题，由双方协商解决。</w:t>
      </w:r>
    </w:p>
    <w:p>
      <w:pPr>
        <w:jc w:val="both"/>
      </w:pPr>
      <w:r>
        <w:rPr>
          <w:sz w:val="21"/>
        </w:rPr>
        <w:t>5</w:t>
      </w:r>
      <w:r>
        <w:rPr>
          <w:sz w:val="21"/>
        </w:rPr>
        <w:t>、乙方具有专门的图书零售场地、良好的图书样书室等现采场地。</w:t>
      </w:r>
    </w:p>
    <w:p>
      <w:pPr>
        <w:jc w:val="both"/>
      </w:pPr>
    </w:p>
    <w:p>
      <w:pPr>
        <w:jc w:val="both"/>
      </w:pPr>
      <w:r>
        <w:rPr>
          <w:sz w:val="21"/>
        </w:rPr>
        <w:t>五、售后服务</w:t>
      </w:r>
    </w:p>
    <w:p>
      <w:pPr>
        <w:jc w:val="both"/>
      </w:pPr>
      <w:r>
        <w:rPr>
          <w:sz w:val="21"/>
        </w:rPr>
        <w:t>1.</w:t>
      </w:r>
      <w:r>
        <w:rPr>
          <w:sz w:val="21"/>
        </w:rPr>
        <w:t>乙方须专门指派一名业务人员，负责与甲方保持业务联系。</w:t>
      </w:r>
    </w:p>
    <w:p>
      <w:pPr>
        <w:jc w:val="both"/>
      </w:pPr>
      <w:r>
        <w:rPr>
          <w:sz w:val="21"/>
        </w:rPr>
        <w:t>2.</w:t>
      </w:r>
      <w:r>
        <w:rPr>
          <w:sz w:val="21"/>
        </w:rPr>
        <w:t>乙方在投递的每批图书、期刊中应随货附送与货物数量、品种、价格相符的详细电脑清单及汇总单，以便于双方协调验收和避免出现漏发、错投的现象。</w:t>
      </w:r>
    </w:p>
    <w:p>
      <w:pPr>
        <w:jc w:val="both"/>
      </w:pPr>
      <w:r>
        <w:rPr>
          <w:sz w:val="21"/>
        </w:rPr>
        <w:t>3.</w:t>
      </w:r>
      <w:r>
        <w:rPr>
          <w:sz w:val="21"/>
        </w:rPr>
        <w:t>对汇总单中漏发的图书、期刊，乙方必须立刻快递补齐。</w:t>
      </w:r>
    </w:p>
    <w:p>
      <w:pPr>
        <w:jc w:val="both"/>
      </w:pPr>
      <w:r>
        <w:rPr>
          <w:sz w:val="21"/>
        </w:rPr>
        <w:t>4.</w:t>
      </w:r>
      <w:r>
        <w:rPr>
          <w:sz w:val="21"/>
        </w:rPr>
        <w:t>对延迟出版及取消出版图书、期刊，乙方应及时向出版机构查询交涉，并同步通报甲方。</w:t>
      </w:r>
    </w:p>
    <w:p>
      <w:pPr>
        <w:jc w:val="both"/>
      </w:pPr>
      <w:r>
        <w:rPr>
          <w:sz w:val="21"/>
        </w:rPr>
        <w:t>5.</w:t>
      </w:r>
      <w:r>
        <w:rPr>
          <w:sz w:val="21"/>
        </w:rPr>
        <w:t>接甲方通知（含电话）后，乙方必须在一个工作日内作出反馈并提出处理问题的方案。</w:t>
      </w:r>
    </w:p>
    <w:p>
      <w:pPr>
        <w:jc w:val="both"/>
      </w:pPr>
    </w:p>
    <w:p>
      <w:pPr>
        <w:jc w:val="both"/>
      </w:pPr>
      <w:r>
        <w:rPr>
          <w:sz w:val="21"/>
        </w:rPr>
        <w:t>六、违约责任</w:t>
      </w:r>
    </w:p>
    <w:p>
      <w:pPr>
        <w:ind w:firstLine="420"/>
        <w:jc w:val="left"/>
      </w:pPr>
      <w:r>
        <w:rPr>
          <w:sz w:val="21"/>
        </w:rPr>
        <w:t>1. 乙方交付的货物及提供的服务不符合招标文件、报价文件或本合同规定的，甲方有权拒收，并且乙方须向甲方支付本合同总价5%的违约金并赔偿因此给甲方造成的损失。情节严重者甲方有权单方面解除合同，取消乙方供货资格，并要求乙方承担中标总价</w:t>
      </w:r>
      <w:r>
        <w:rPr>
          <w:sz w:val="21"/>
        </w:rPr>
        <w:t>30%</w:t>
      </w:r>
      <w:r>
        <w:rPr>
          <w:sz w:val="21"/>
        </w:rPr>
        <w:t>违约金。如甲方要求乙方重新或补充提供合格产品，乙方应当在甲方指定限期内提供。</w:t>
      </w:r>
    </w:p>
    <w:p>
      <w:pPr>
        <w:ind w:firstLine="420"/>
        <w:jc w:val="left"/>
      </w:pPr>
      <w:r>
        <w:rPr>
          <w:sz w:val="21"/>
        </w:rPr>
        <w:t>2</w:t>
      </w:r>
      <w:r>
        <w:rPr>
          <w:sz w:val="21"/>
        </w:rPr>
        <w:t>. 甲方无正当理由拒收货物/接受服务，甲方向乙方偿付本合同总额的5%的违约金。</w:t>
      </w:r>
    </w:p>
    <w:p>
      <w:pPr>
        <w:ind w:firstLine="420"/>
        <w:jc w:val="left"/>
      </w:pPr>
      <w:r>
        <w:rPr>
          <w:sz w:val="21"/>
        </w:rPr>
        <w:t>3</w:t>
      </w:r>
      <w:r>
        <w:rPr>
          <w:sz w:val="21"/>
        </w:rPr>
        <w:t>. 甲方若无正当理由逾期付款，则每日按本合同总额的万分之五向乙方偿付违约金，但该违约金不超过合同总额的5%。</w:t>
      </w:r>
    </w:p>
    <w:p>
      <w:pPr>
        <w:ind w:firstLine="420"/>
        <w:jc w:val="left"/>
      </w:pPr>
      <w:r>
        <w:rPr>
          <w:sz w:val="21"/>
        </w:rPr>
        <w:t>4</w:t>
      </w:r>
      <w:r>
        <w:rPr>
          <w:sz w:val="21"/>
        </w:rPr>
        <w:t>. 其他违约责任按《中华人民共和国民法典》处理。</w:t>
      </w:r>
    </w:p>
    <w:p>
      <w:pPr>
        <w:ind w:firstLine="420"/>
        <w:jc w:val="left"/>
      </w:pPr>
      <w:r>
        <w:rPr>
          <w:sz w:val="21"/>
        </w:rPr>
        <w:t>5.</w:t>
      </w:r>
      <w:r>
        <w:rPr>
          <w:sz w:val="21"/>
        </w:rPr>
        <w:t xml:space="preserve"> </w:t>
      </w:r>
      <w:r>
        <w:rPr>
          <w:sz w:val="21"/>
        </w:rPr>
        <w:t>在履行合同过程中，本合同一方当事人因第三人的原因造成违约的，应当向本合同对方当事人承担违约责任</w:t>
      </w:r>
      <w:r>
        <w:rPr>
          <w:sz w:val="21"/>
        </w:rPr>
        <w:t>:本合同违约方当事人和第三人之间的纠纷，依照法律规定自行解决和承担法律责任，如导致本合同对方受牵涉而发生损失(包括但不限于本合同违约方行为所致本合同对方的经济损失、派员参与纠纷解决的人工、交通、食宿费用、仲裁费、诉讼费、委托律师费用等)的，由本合同违约方承担赔偿责任。</w:t>
      </w:r>
    </w:p>
    <w:p>
      <w:pPr>
        <w:ind w:firstLine="422"/>
        <w:jc w:val="left"/>
      </w:pPr>
    </w:p>
    <w:p>
      <w:pPr>
        <w:ind w:firstLine="422"/>
        <w:jc w:val="left"/>
      </w:pPr>
      <w:r>
        <w:rPr>
          <w:b/>
          <w:sz w:val="21"/>
        </w:rPr>
        <w:t>七、争议解决</w:t>
      </w:r>
    </w:p>
    <w:p>
      <w:pPr>
        <w:ind w:firstLine="422"/>
        <w:jc w:val="left"/>
      </w:pPr>
      <w:r>
        <w:rPr>
          <w:sz w:val="21"/>
        </w:rPr>
        <w:t xml:space="preserve">      </w:t>
      </w:r>
      <w:r>
        <w:rPr>
          <w:sz w:val="21"/>
        </w:rPr>
        <w:t>因履行合同产生的争议双方协商解决，协商不成提交汕头仲裁委员会仲裁，仲裁结果对双方具有法律约束力。</w:t>
      </w:r>
    </w:p>
    <w:p>
      <w:pPr>
        <w:ind w:firstLine="420"/>
        <w:jc w:val="left"/>
      </w:pPr>
    </w:p>
    <w:p>
      <w:pPr>
        <w:ind w:firstLine="420"/>
        <w:jc w:val="left"/>
      </w:pPr>
      <w:r>
        <w:rPr>
          <w:b/>
          <w:sz w:val="21"/>
        </w:rPr>
        <w:t>八、不可抗力</w:t>
      </w:r>
    </w:p>
    <w:p>
      <w:pPr>
        <w:ind w:firstLine="420"/>
        <w:jc w:val="left"/>
      </w:pPr>
      <w:r>
        <w:rPr>
          <w:sz w:val="21"/>
        </w:rPr>
        <w:t xml:space="preserve">      </w:t>
      </w:r>
      <w:r>
        <w:rPr>
          <w:sz w:val="21"/>
        </w:rPr>
        <w:t>任何一方由于重大自然灾害、政府管制、严重社会公共卫生事件等不可抗力原因不能履行合同时，应在不可抗力事件结束后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0"/>
        <w:jc w:val="left"/>
      </w:pPr>
    </w:p>
    <w:p>
      <w:pPr>
        <w:ind w:firstLine="420"/>
        <w:jc w:val="left"/>
      </w:pPr>
      <w:r>
        <w:rPr>
          <w:b/>
          <w:sz w:val="21"/>
        </w:rPr>
        <w:t>九、税费</w:t>
      </w:r>
    </w:p>
    <w:p>
      <w:pPr>
        <w:ind w:firstLine="420"/>
        <w:jc w:val="left"/>
      </w:pPr>
      <w:r>
        <w:rPr>
          <w:sz w:val="21"/>
        </w:rPr>
        <w:t xml:space="preserve">      </w:t>
      </w:r>
      <w:r>
        <w:rPr>
          <w:sz w:val="21"/>
        </w:rPr>
        <w:t>在中国境内、外发生的与本合同执行有关的一切税费均由乙方负担。</w:t>
      </w:r>
    </w:p>
    <w:p>
      <w:pPr>
        <w:ind w:firstLine="420"/>
        <w:jc w:val="left"/>
      </w:pPr>
    </w:p>
    <w:p>
      <w:pPr>
        <w:ind w:firstLine="420"/>
        <w:jc w:val="left"/>
      </w:pPr>
      <w:r>
        <w:rPr>
          <w:b/>
          <w:sz w:val="21"/>
        </w:rPr>
        <w:t>十、其他</w:t>
      </w:r>
    </w:p>
    <w:p>
      <w:pPr>
        <w:ind w:firstLine="420"/>
        <w:jc w:val="left"/>
      </w:pPr>
      <w:r>
        <w:rPr>
          <w:sz w:val="21"/>
        </w:rPr>
        <w:t xml:space="preserve">   </w:t>
      </w:r>
      <w:r>
        <w:rPr>
          <w:sz w:val="21"/>
        </w:rPr>
        <w:t>1. 本合同所有附件、采购文件、投标文件、中标通知书均为合同的有效组成部分，与本合同具有同等法律效力。</w:t>
      </w:r>
    </w:p>
    <w:p>
      <w:pPr>
        <w:ind w:firstLine="420"/>
        <w:jc w:val="left"/>
      </w:pPr>
      <w:r>
        <w:rPr>
          <w:sz w:val="21"/>
        </w:rPr>
        <w:t>2. 在执行本合同的过程中，所有经双方签署确认的文件（包括会议纪要、补充协议、往来信函）即成为本合同的有效组成部分。</w:t>
      </w:r>
    </w:p>
    <w:p>
      <w:pPr>
        <w:ind w:firstLine="420"/>
        <w:jc w:val="left"/>
      </w:pPr>
      <w:r>
        <w:rPr>
          <w:sz w:val="21"/>
        </w:rPr>
        <w:t>3. 合同各方一致确认以下通讯地址和联系方式为各方履行合同、解决合同争议时向接收方（其他方）送达商业文件信函或司法机关(法院、仲裁机构)诉讼、仲裁文书的送达地址和联系方式。</w:t>
      </w:r>
    </w:p>
    <w:p>
      <w:pPr>
        <w:ind w:firstLine="420"/>
        <w:jc w:val="left"/>
      </w:pPr>
      <w:r>
        <w:rPr>
          <w:sz w:val="21"/>
        </w:rPr>
        <w:t xml:space="preserve">    </w:t>
      </w:r>
      <w:r>
        <w:rPr>
          <w:sz w:val="21"/>
        </w:rPr>
        <w:t>甲方送达地址和联系方式为：汕头市金平区大学路</w:t>
      </w:r>
      <w:r>
        <w:rPr>
          <w:sz w:val="21"/>
        </w:rPr>
        <w:t>243 号，0754-8650xxxx</w:t>
      </w:r>
    </w:p>
    <w:p>
      <w:pPr>
        <w:ind w:firstLine="420"/>
        <w:jc w:val="left"/>
      </w:pPr>
      <w:r>
        <w:rPr>
          <w:sz w:val="21"/>
        </w:rPr>
        <w:t xml:space="preserve">    </w:t>
      </w:r>
      <w:r>
        <w:rPr>
          <w:sz w:val="21"/>
        </w:rPr>
        <w:t>乙方送达地址和联系方式为：</w:t>
      </w:r>
      <w:r>
        <w:rPr>
          <w:sz w:val="21"/>
        </w:rPr>
        <w:t>xxxxxx，xxxxxxxx</w:t>
      </w:r>
    </w:p>
    <w:p>
      <w:pPr>
        <w:ind w:firstLine="420"/>
        <w:jc w:val="left"/>
      </w:pPr>
      <w:r>
        <w:rPr>
          <w:sz w:val="21"/>
        </w:rPr>
        <w:t xml:space="preserve">    </w:t>
      </w:r>
      <w:r>
        <w:rPr>
          <w:sz w:val="21"/>
        </w:rPr>
        <w:t>若任何一方通讯地址和联系方式需要变更的，应提前五个工作日向合同其他方送交书面变更告知书，否则上述通讯地址和联系方式适用至本合同履行完毕或争议经过一审、二审至案件执行终结时止。</w:t>
      </w:r>
    </w:p>
    <w:p>
      <w:pPr>
        <w:ind w:firstLine="420"/>
        <w:jc w:val="left"/>
      </w:pPr>
      <w:r>
        <w:rPr>
          <w:sz w:val="21"/>
        </w:rPr>
        <w:t>4.除甲方事先书面同意外，乙方不得部分或全部转让其应履行的合同项下的义务。</w:t>
      </w:r>
    </w:p>
    <w:p>
      <w:pPr>
        <w:ind w:firstLine="420"/>
        <w:jc w:val="left"/>
      </w:pPr>
    </w:p>
    <w:p>
      <w:pPr>
        <w:ind w:firstLine="420"/>
        <w:jc w:val="left"/>
      </w:pPr>
      <w:r>
        <w:rPr>
          <w:b/>
          <w:sz w:val="21"/>
        </w:rPr>
        <w:t>十一、合同生效</w:t>
      </w:r>
    </w:p>
    <w:p>
      <w:pPr>
        <w:ind w:firstLine="420"/>
        <w:jc w:val="left"/>
      </w:pPr>
      <w:r>
        <w:rPr>
          <w:sz w:val="21"/>
        </w:rPr>
        <w:t>1. 本合同在甲乙双方法人代表或其授权代表签字盖章后生效。</w:t>
      </w:r>
    </w:p>
    <w:p>
      <w:pPr>
        <w:ind w:firstLine="420"/>
        <w:jc w:val="left"/>
      </w:pPr>
      <w:r>
        <w:rPr>
          <w:sz w:val="21"/>
        </w:rPr>
        <w:t>2. 本协议正本一式四份，具有同等法律效力，甲乙双方各执贰份。</w:t>
      </w:r>
    </w:p>
    <w:p>
      <w:pPr>
        <w:ind w:firstLine="420"/>
        <w:jc w:val="left"/>
      </w:pPr>
      <w:r>
        <w:rPr>
          <w:sz w:val="21"/>
        </w:rPr>
        <w:t>以下无正文。</w:t>
      </w:r>
    </w:p>
    <w:tbl>
      <w:tblPr>
        <w:tblW w:w="0" w:type="auto"/>
        <w:tblBorders>
          <w:top w:val="none" w:color="000000" w:sz="4"/>
          <w:left w:val="none" w:color="000000" w:sz="4"/>
          <w:bottom w:val="none" w:color="000000" w:sz="4"/>
          <w:right w:val="none" w:color="000000" w:sz="4"/>
          <w:insideH w:val="none"/>
          <w:insideV w:val="none"/>
        </w:tblBorders>
      </w:tblPr>
      <w:tblGrid>
        <w:gridCol w:w="4288"/>
        <w:gridCol w:w="4004"/>
      </w:tblGrid>
      <w:tr>
        <w:tc>
          <w:tcPr>
            <w:tcW w:type="dxa" w:w="4288"/>
            <w:tcBorders>
              <w:top w:val="single" w:color="F2F2F2" w:sz="4"/>
              <w:left w:val="single" w:color="F2F2F2" w:sz="4"/>
              <w:bottom w:val="single" w:color="F2F2F2" w:sz="4"/>
              <w:right w:val="single" w:color="F2F2F2" w:sz="4"/>
            </w:tcBorders>
            <w:vAlign w:val="top"/>
          </w:tcPr>
          <w:p>
            <w:pPr>
              <w:jc w:val="both"/>
            </w:pPr>
          </w:p>
          <w:p>
            <w:pPr>
              <w:jc w:val="both"/>
            </w:pPr>
            <w:r>
              <w:rPr>
                <w:sz w:val="21"/>
              </w:rPr>
              <w:t>甲方（盖章）：汕头大学</w:t>
            </w:r>
          </w:p>
        </w:tc>
        <w:tc>
          <w:tcPr>
            <w:tcW w:type="dxa" w:w="4004"/>
            <w:tcBorders>
              <w:top w:val="single" w:color="F2F2F2" w:sz="4"/>
              <w:left w:val="single" w:color="F2F2F2" w:sz="4"/>
              <w:bottom w:val="single" w:color="F2F2F2" w:sz="4"/>
              <w:right w:val="single" w:color="F2F2F2" w:sz="4"/>
            </w:tcBorders>
            <w:vAlign w:val="top"/>
          </w:tcPr>
          <w:p>
            <w:pPr>
              <w:jc w:val="both"/>
            </w:pPr>
            <w:r>
              <w:rPr>
                <w:sz w:val="21"/>
              </w:rPr>
              <w:t>乙方（盖章）：</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授权代表（签字）：</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授权代表（签字）：</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日期：</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日期：</w:t>
            </w:r>
          </w:p>
        </w:tc>
      </w:tr>
    </w:tbl>
    <w:p>
      <w:pPr>
        <w:ind w:firstLine="420"/>
        <w:jc w:val="left"/>
      </w:pPr>
      <w:r>
        <w:rPr>
          <w:sz w:val="21"/>
        </w:rPr>
        <w:t>签约地点：汕头市</w:t>
      </w:r>
    </w:p>
    <w:p>
      <w:pPr>
        <w:ind w:firstLine="422"/>
        <w:jc w:val="left"/>
      </w:pPr>
    </w:p>
    <w:p>
      <w:r>
        <w:rPr>
          <w:sz w:val="21"/>
        </w:rPr>
        <w:t>合同样本</w:t>
      </w:r>
      <w:r>
        <w:rPr>
          <w:sz w:val="21"/>
        </w:rPr>
        <w:t>二</w:t>
      </w:r>
      <w:r>
        <w:rPr>
          <w:sz w:val="21"/>
        </w:rPr>
        <w:t>（适用于采购包</w:t>
      </w:r>
      <w:r>
        <w:rPr>
          <w:sz w:val="21"/>
        </w:rPr>
        <w:t>2</w:t>
      </w:r>
      <w:r>
        <w:rPr>
          <w:sz w:val="21"/>
        </w:rPr>
        <w:t>）</w:t>
      </w:r>
    </w:p>
    <w:p>
      <w:r>
        <w:rPr/>
        <w:t xml:space="preserve"> </w:t>
      </w:r>
    </w:p>
    <w:p>
      <w:pPr>
        <w:ind w:firstLine="420"/>
        <w:jc w:val="both"/>
      </w:pPr>
    </w:p>
    <w:tbl>
      <w:tblPr>
        <w:tblW w:w="0" w:type="auto"/>
        <w:tblBorders>
          <w:top w:val="none" w:color="000000" w:sz="4"/>
          <w:left w:val="none" w:color="000000" w:sz="4"/>
          <w:bottom w:val="none" w:color="000000" w:sz="4"/>
          <w:right w:val="none" w:color="000000" w:sz="4"/>
          <w:insideH w:val="none"/>
          <w:insideV w:val="none"/>
        </w:tblBorders>
      </w:tblPr>
      <w:tblGrid>
        <w:gridCol w:w="4202"/>
        <w:gridCol w:w="4103"/>
      </w:tblGrid>
      <w:tr>
        <w:tc>
          <w:tcPr>
            <w:tcW w:type="dxa" w:w="4202"/>
            <w:tcBorders>
              <w:top w:val="single" w:color="F2F2F2" w:sz="4"/>
              <w:left w:val="single" w:color="F2F2F2" w:sz="4"/>
              <w:bottom w:val="single" w:color="F2F2F2" w:sz="4"/>
              <w:right w:val="single" w:color="F2F2F2" w:sz="4"/>
            </w:tcBorders>
            <w:vAlign w:val="top"/>
          </w:tcPr>
          <w:p>
            <w:pPr>
              <w:jc w:val="both"/>
            </w:pPr>
            <w:r>
              <w:rPr>
                <w:sz w:val="21"/>
              </w:rPr>
              <w:t>甲方：汕头大学</w:t>
            </w:r>
          </w:p>
        </w:tc>
        <w:tc>
          <w:tcPr>
            <w:tcW w:type="dxa" w:w="4103"/>
            <w:tcBorders>
              <w:top w:val="single" w:color="F2F2F2" w:sz="4"/>
              <w:left w:val="single" w:color="F2F2F2" w:sz="4"/>
              <w:bottom w:val="single" w:color="F2F2F2" w:sz="4"/>
              <w:right w:val="single" w:color="F2F2F2" w:sz="4"/>
            </w:tcBorders>
            <w:vAlign w:val="top"/>
          </w:tcPr>
          <w:p>
            <w:pPr>
              <w:jc w:val="both"/>
            </w:pPr>
            <w:r>
              <w:rPr>
                <w:sz w:val="21"/>
              </w:rPr>
              <w:t>乙方：</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法定代表人：</w:t>
            </w:r>
            <w:r>
              <w:rPr>
                <w:sz w:val="21"/>
              </w:rPr>
              <w:t>郝志峰</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法定代表人：</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地址：</w:t>
            </w:r>
            <w:r>
              <w:rPr>
                <w:sz w:val="21"/>
              </w:rPr>
              <w:t>汕头市金平区大学路</w:t>
            </w:r>
            <w:r>
              <w:rPr>
                <w:sz w:val="21"/>
              </w:rPr>
              <w:t>243</w:t>
            </w:r>
            <w:r>
              <w:rPr>
                <w:sz w:val="21"/>
              </w:rPr>
              <w:t>号</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地址：</w:t>
            </w:r>
            <w:r>
              <w:rPr>
                <w:sz w:val="21"/>
              </w:rPr>
              <w:t xml:space="preserve"> </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开户银行：</w:t>
            </w:r>
            <w:r>
              <w:rPr>
                <w:sz w:val="21"/>
              </w:rPr>
              <w:t>中国银行汕头大学支行</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开户银行：</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帐号：</w:t>
            </w:r>
            <w:r>
              <w:rPr>
                <w:sz w:val="21"/>
              </w:rPr>
              <w:t>628857760147</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帐号：</w:t>
            </w:r>
          </w:p>
        </w:tc>
      </w:tr>
      <w:tr>
        <w:tc>
          <w:tcPr>
            <w:tcW w:type="dxa" w:w="4202"/>
            <w:tcBorders>
              <w:top w:val="none" w:color="000000" w:sz="4"/>
              <w:left w:val="single" w:color="F2F2F2" w:sz="4"/>
              <w:bottom w:val="single" w:color="F2F2F2" w:sz="4"/>
              <w:right w:val="single" w:color="F2F2F2" w:sz="4"/>
            </w:tcBorders>
            <w:vAlign w:val="top"/>
          </w:tcPr>
          <w:p>
            <w:pPr>
              <w:jc w:val="both"/>
            </w:pPr>
            <w:r>
              <w:rPr>
                <w:b/>
                <w:sz w:val="21"/>
              </w:rPr>
              <w:t>统一社会信用代码：</w:t>
            </w:r>
            <w:r>
              <w:rPr>
                <w:sz w:val="21"/>
              </w:rPr>
              <w:t>1244000045594645X2</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统一社会信用代码：</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联系人：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联系人：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电话（座机</w:t>
            </w:r>
            <w:r>
              <w:rPr>
                <w:sz w:val="21"/>
              </w:rPr>
              <w:t>/</w:t>
            </w:r>
            <w:r>
              <w:rPr>
                <w:sz w:val="21"/>
              </w:rPr>
              <w:t>手机）：</w:t>
            </w:r>
          </w:p>
        </w:tc>
      </w:tr>
      <w:tr>
        <w:tc>
          <w:tcPr>
            <w:tcW w:type="dxa" w:w="4202"/>
            <w:tcBorders>
              <w:top w:val="none" w:color="000000" w:sz="4"/>
              <w:left w:val="single" w:color="F2F2F2" w:sz="4"/>
              <w:bottom w:val="single" w:color="F2F2F2" w:sz="4"/>
              <w:right w:val="single" w:color="F2F2F2" w:sz="4"/>
            </w:tcBorders>
            <w:vAlign w:val="top"/>
          </w:tcPr>
          <w:p>
            <w:pPr>
              <w:jc w:val="both"/>
            </w:pPr>
            <w:r>
              <w:rPr>
                <w:sz w:val="21"/>
              </w:rPr>
              <w:t>电子邮箱：</w:t>
            </w:r>
          </w:p>
        </w:tc>
        <w:tc>
          <w:tcPr>
            <w:tcW w:type="dxa" w:w="4103"/>
            <w:tcBorders>
              <w:top w:val="none" w:color="000000" w:sz="4"/>
              <w:left w:val="single" w:color="F2F2F2" w:sz="4"/>
              <w:bottom w:val="single" w:color="F2F2F2" w:sz="4"/>
              <w:right w:val="single" w:color="F2F2F2" w:sz="4"/>
            </w:tcBorders>
            <w:vAlign w:val="top"/>
          </w:tcPr>
          <w:p>
            <w:pPr>
              <w:jc w:val="both"/>
            </w:pPr>
            <w:r>
              <w:rPr>
                <w:sz w:val="21"/>
              </w:rPr>
              <w:t>电子邮箱：</w:t>
            </w:r>
          </w:p>
        </w:tc>
      </w:tr>
    </w:tbl>
    <w:p>
      <w:pPr>
        <w:ind w:firstLine="420"/>
        <w:jc w:val="left"/>
      </w:pPr>
    </w:p>
    <w:p>
      <w:pPr>
        <w:jc w:val="both"/>
      </w:pPr>
      <w:r>
        <w:rPr>
          <w:sz w:val="21"/>
        </w:rPr>
        <w:t>根据</w:t>
      </w:r>
      <w:r>
        <w:rPr>
          <w:sz w:val="21"/>
          <w:u w:val="single"/>
        </w:rPr>
        <w:t xml:space="preserve">         </w:t>
      </w:r>
      <w:r>
        <w:rPr>
          <w:sz w:val="21"/>
        </w:rPr>
        <w:t>（项目编号：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ind w:firstLine="420"/>
        <w:jc w:val="both"/>
      </w:pPr>
      <w:r>
        <w:rPr>
          <w:b/>
          <w:sz w:val="21"/>
        </w:rPr>
        <w:t>一、合同标的</w:t>
      </w:r>
    </w:p>
    <w:p>
      <w:pPr>
        <w:ind w:firstLine="420"/>
        <w:jc w:val="both"/>
      </w:pPr>
      <w:r>
        <w:rPr>
          <w:sz w:val="21"/>
        </w:rPr>
        <w:t>1.项目内容：</w:t>
      </w:r>
    </w:p>
    <w:p>
      <w:pPr>
        <w:ind w:firstLine="420"/>
        <w:jc w:val="both"/>
      </w:pPr>
      <w:r>
        <w:rPr>
          <w:sz w:val="21"/>
        </w:rPr>
        <w:t>2.采购范围：</w:t>
      </w:r>
      <w:r>
        <w:rPr>
          <w:sz w:val="21"/>
        </w:rPr>
        <w:t>原版外文与港台期刊</w:t>
      </w:r>
    </w:p>
    <w:p>
      <w:pPr>
        <w:ind w:firstLine="420"/>
        <w:jc w:val="left"/>
      </w:pPr>
    </w:p>
    <w:p>
      <w:pPr>
        <w:ind w:firstLine="420"/>
        <w:jc w:val="left"/>
      </w:pPr>
      <w:r>
        <w:rPr>
          <w:b/>
          <w:sz w:val="21"/>
        </w:rPr>
        <w:t>二、合同费用及付款方式</w:t>
      </w:r>
    </w:p>
    <w:p>
      <w:pPr>
        <w:jc w:val="both"/>
      </w:pPr>
      <w:r>
        <w:rPr>
          <w:sz w:val="21"/>
        </w:rPr>
        <w:t>（</w:t>
      </w:r>
      <w:r>
        <w:rPr>
          <w:sz w:val="21"/>
        </w:rPr>
        <w:t>1</w:t>
      </w:r>
      <w:r>
        <w:rPr>
          <w:sz w:val="21"/>
        </w:rPr>
        <w:t>）甲方最迟于</w:t>
      </w:r>
      <w:r>
        <w:rPr>
          <w:sz w:val="21"/>
        </w:rPr>
        <w:t>2024</w:t>
      </w:r>
      <w:r>
        <w:rPr>
          <w:sz w:val="21"/>
        </w:rPr>
        <w:t>年</w:t>
      </w:r>
      <w:r>
        <w:rPr>
          <w:sz w:val="21"/>
        </w:rPr>
        <w:t>9</w:t>
      </w:r>
      <w:r>
        <w:rPr>
          <w:sz w:val="21"/>
        </w:rPr>
        <w:t>月</w:t>
      </w:r>
      <w:r>
        <w:rPr>
          <w:sz w:val="21"/>
        </w:rPr>
        <w:t>30</w:t>
      </w:r>
      <w:r>
        <w:rPr>
          <w:sz w:val="21"/>
        </w:rPr>
        <w:t>日前按中标人民币实洋付款。乙方必须按实洋数开具国家税务部门监制的正式发票。</w:t>
      </w:r>
    </w:p>
    <w:p>
      <w:pPr>
        <w:jc w:val="both"/>
      </w:pPr>
      <w:r>
        <w:rPr>
          <w:sz w:val="21"/>
        </w:rPr>
        <w:t>图书结算价（实洋）（人民币元）</w:t>
      </w:r>
      <w:r>
        <w:rPr>
          <w:sz w:val="21"/>
        </w:rPr>
        <w:t>=</w:t>
      </w:r>
      <w:r>
        <w:rPr>
          <w:sz w:val="21"/>
        </w:rPr>
        <w:t>图书原币价格×到馆日原币汇率×中标综合折扣率。</w:t>
      </w:r>
    </w:p>
    <w:p>
      <w:pPr>
        <w:jc w:val="both"/>
      </w:pPr>
      <w:r>
        <w:rPr>
          <w:sz w:val="21"/>
        </w:rPr>
        <w:t>图书原币价格：以出版社标价或供应商进货单据为准。</w:t>
      </w:r>
    </w:p>
    <w:p>
      <w:pPr>
        <w:jc w:val="both"/>
      </w:pPr>
      <w:r>
        <w:rPr>
          <w:sz w:val="21"/>
        </w:rPr>
        <w:t>到馆日原币汇率：指图书到馆当日的中国银行外汇卖出日均价，即当天（北京时间为准）中国银行网站上公布的相应外币的所有现汇卖出价记录之均值。甲方于收到发票</w:t>
      </w:r>
      <w:r>
        <w:rPr>
          <w:sz w:val="21"/>
        </w:rPr>
        <w:t>15</w:t>
      </w:r>
      <w:r>
        <w:rPr>
          <w:sz w:val="21"/>
        </w:rPr>
        <w:t>日内实洋付款。</w:t>
      </w:r>
    </w:p>
    <w:p>
      <w:pPr>
        <w:numPr>
          <w:ilvl w:val="0"/>
          <w:numId w:val="2"/>
        </w:numPr>
      </w:pPr>
      <w:r>
        <w:rPr>
          <w:sz w:val="21"/>
        </w:rPr>
        <w:t>支付方式：采用支票、银行汇付（含电汇）等形式。</w:t>
      </w:r>
    </w:p>
    <w:p>
      <w:pPr>
        <w:numPr>
          <w:ilvl w:val="0"/>
          <w:numId w:val="2"/>
        </w:numPr>
      </w:pPr>
      <w:r>
        <w:rPr>
          <w:sz w:val="21"/>
        </w:rPr>
        <w:t>本合同有效期自合同签订之日起至</w:t>
      </w:r>
      <w:r>
        <w:rPr>
          <w:sz w:val="21"/>
        </w:rPr>
        <w:t xml:space="preserve">202  </w:t>
      </w:r>
      <w:r>
        <w:rPr>
          <w:sz w:val="21"/>
        </w:rPr>
        <w:t>年  月  日。</w:t>
      </w:r>
    </w:p>
    <w:p>
      <w:pPr>
        <w:jc w:val="both"/>
      </w:pPr>
    </w:p>
    <w:p>
      <w:pPr>
        <w:jc w:val="both"/>
      </w:pPr>
      <w:r>
        <w:rPr>
          <w:b/>
          <w:sz w:val="21"/>
        </w:rPr>
        <w:t>三、</w:t>
      </w:r>
      <w:r>
        <w:rPr>
          <w:sz w:val="21"/>
        </w:rPr>
        <w:t>项目技术要求：</w:t>
      </w:r>
    </w:p>
    <w:p>
      <w:pPr>
        <w:jc w:val="both"/>
      </w:pPr>
      <w:r>
        <w:rPr>
          <w:sz w:val="21"/>
        </w:rPr>
        <w:t>（</w:t>
      </w:r>
      <w:r>
        <w:rPr>
          <w:sz w:val="21"/>
        </w:rPr>
        <w:t>1</w:t>
      </w:r>
      <w:r>
        <w:rPr>
          <w:sz w:val="21"/>
        </w:rPr>
        <w:t>）征订目录要求：乙</w:t>
      </w:r>
      <w:r>
        <w:rPr>
          <w:sz w:val="21"/>
        </w:rPr>
        <w:t>方必须每年根据征订目录按时无条件提供港台及国外各类型期刊社及其他专门的最新书本式期刊征订目录和电子版期刊征订目录（含报价），特别是符合</w:t>
      </w:r>
      <w:r>
        <w:rPr>
          <w:sz w:val="21"/>
        </w:rPr>
        <w:t>甲方教学和科研需要的当年新增期刊目录。</w:t>
      </w:r>
    </w:p>
    <w:p>
      <w:pPr>
        <w:jc w:val="both"/>
      </w:pPr>
      <w:r>
        <w:rPr>
          <w:sz w:val="21"/>
        </w:rPr>
        <w:t>（</w:t>
      </w:r>
      <w:r>
        <w:rPr>
          <w:sz w:val="21"/>
        </w:rPr>
        <w:t>2</w:t>
      </w:r>
      <w:r>
        <w:rPr>
          <w:sz w:val="21"/>
        </w:rPr>
        <w:t>）期刊变更信息要求：因出版方原因未能及时供刊，及期刊发生停刊、改名、合并、分刊、载体变化或个别期刊价格非正常上涨等情况，乙方应编制专门的《期刊变动情况表》，尽早通知甲方并说明原因。平时对于甲方对期刊的询订、催缺应及时处理和回复。</w:t>
      </w:r>
    </w:p>
    <w:p>
      <w:pPr>
        <w:jc w:val="both"/>
      </w:pPr>
      <w:r>
        <w:rPr>
          <w:sz w:val="21"/>
        </w:rPr>
        <w:t>（</w:t>
      </w:r>
      <w:r>
        <w:rPr>
          <w:sz w:val="21"/>
        </w:rPr>
        <w:t>3</w:t>
      </w:r>
      <w:r>
        <w:rPr>
          <w:sz w:val="21"/>
        </w:rPr>
        <w:t>）订到率：在版订到率要求</w:t>
      </w:r>
      <w:r>
        <w:rPr>
          <w:sz w:val="21"/>
        </w:rPr>
        <w:t>98%</w:t>
      </w:r>
      <w:r>
        <w:rPr>
          <w:sz w:val="21"/>
        </w:rPr>
        <w:t>。</w:t>
      </w:r>
    </w:p>
    <w:p>
      <w:pPr>
        <w:jc w:val="both"/>
      </w:pPr>
      <w:r>
        <w:rPr>
          <w:sz w:val="21"/>
        </w:rPr>
        <w:t>（</w:t>
      </w:r>
      <w:r>
        <w:rPr>
          <w:sz w:val="21"/>
        </w:rPr>
        <w:t>4</w:t>
      </w:r>
      <w:r>
        <w:rPr>
          <w:sz w:val="21"/>
        </w:rPr>
        <w:t>）到刊率：年到刊率要求达到</w:t>
      </w:r>
      <w:r>
        <w:rPr>
          <w:sz w:val="21"/>
        </w:rPr>
        <w:t>96%</w:t>
      </w:r>
      <w:r>
        <w:rPr>
          <w:sz w:val="21"/>
        </w:rPr>
        <w:t>以上（延迟及取消出版计划等情况除外）。</w:t>
      </w:r>
    </w:p>
    <w:p>
      <w:pPr>
        <w:jc w:val="both"/>
      </w:pPr>
      <w:r>
        <w:rPr>
          <w:sz w:val="21"/>
        </w:rPr>
        <w:t>（</w:t>
      </w:r>
      <w:r>
        <w:rPr>
          <w:sz w:val="21"/>
        </w:rPr>
        <w:t>5</w:t>
      </w:r>
      <w:r>
        <w:rPr>
          <w:sz w:val="21"/>
        </w:rPr>
        <w:t>）到刊统计：乙方提供期刊到货的统计；每三个月提供未到刊清单，并以书面形式分析、说明原因，尽快给予补充未到的期刊。</w:t>
      </w:r>
    </w:p>
    <w:p>
      <w:pPr>
        <w:jc w:val="both"/>
      </w:pPr>
      <w:r>
        <w:rPr>
          <w:sz w:val="21"/>
        </w:rPr>
        <w:t>（</w:t>
      </w:r>
      <w:r>
        <w:rPr>
          <w:sz w:val="21"/>
        </w:rPr>
        <w:t>6</w:t>
      </w:r>
      <w:r>
        <w:rPr>
          <w:sz w:val="21"/>
        </w:rPr>
        <w:t>）追加订购：乙方应尽量按投标报价时相同的优惠条件订购甲方要求追加订购的其他期刊。</w:t>
      </w:r>
    </w:p>
    <w:p>
      <w:pPr>
        <w:ind w:firstLine="420"/>
        <w:jc w:val="left"/>
      </w:pPr>
    </w:p>
    <w:p>
      <w:pPr>
        <w:jc w:val="both"/>
      </w:pPr>
      <w:r>
        <w:rPr>
          <w:sz w:val="21"/>
        </w:rPr>
        <w:t>四、项目服务要求：</w:t>
      </w:r>
    </w:p>
    <w:p>
      <w:pPr>
        <w:jc w:val="both"/>
      </w:pPr>
      <w:r>
        <w:rPr>
          <w:sz w:val="21"/>
        </w:rPr>
        <w:t>（</w:t>
      </w:r>
      <w:r>
        <w:rPr>
          <w:sz w:val="21"/>
        </w:rPr>
        <w:t>1</w:t>
      </w:r>
      <w:r>
        <w:rPr>
          <w:sz w:val="21"/>
        </w:rPr>
        <w:t>）期刊供货：乙方必须按采购清单的期刊品种和数量及时供货，除非甲方作出调整或增减，不得自行搭配和追加未经甲方确认的期刊品种和复本数量（期刊本身附赠的赠刊除外），非甲方订购的期刊一律退回。乙方必须保证提供正版期刊，对非正版期刊甲方有权拒绝验收，乙方必须接受无条件退货且以十倍金额支付违约金，从期刊结算款中扣除，同时，可终止乙方的供货资格，甲方仅为期刊使用人，乙方应承担由此而引起的一切法律责任。</w:t>
      </w:r>
    </w:p>
    <w:p>
      <w:pPr>
        <w:jc w:val="both"/>
      </w:pPr>
      <w:r>
        <w:rPr>
          <w:sz w:val="21"/>
        </w:rPr>
        <w:t>（</w:t>
      </w:r>
      <w:r>
        <w:rPr>
          <w:sz w:val="21"/>
        </w:rPr>
        <w:t>2</w:t>
      </w:r>
      <w:r>
        <w:rPr>
          <w:sz w:val="21"/>
        </w:rPr>
        <w:t>）送货要求：乙方必须无条件配送期刊到图书馆采编部指定地点（乙方提供无条件送书、卸货、搬运等），提供每批期刊包装清单，包括但不限于批号、包号、刊号、刊名（改名的注明原刊名）、卷次、期次、册数、投递或发刊日期内容，并合计种数、份数。期刊未按到期顺序到馆的需在刊名后注明；每份期刊必须有明确清晰的标识，包括但不限于刊号、卷期。乙方应对发送的期刊进行防湿和防破装卸要求的包装，并派专人追踪每批期刊的到货情况。期刊在到达甲方指定地点前发生的不可预见的风险均由乙方负责。最少一周一次投递。</w:t>
      </w:r>
    </w:p>
    <w:p>
      <w:pPr>
        <w:jc w:val="both"/>
      </w:pPr>
      <w:r>
        <w:rPr>
          <w:sz w:val="21"/>
        </w:rPr>
        <w:t>（</w:t>
      </w:r>
      <w:r>
        <w:rPr>
          <w:sz w:val="21"/>
        </w:rPr>
        <w:t>3</w:t>
      </w:r>
      <w:r>
        <w:rPr>
          <w:sz w:val="21"/>
        </w:rPr>
        <w:t>）期刊退换：期刊出现下列任一情况，乙方必须无条件负责退换，退换货发生的全部费用由乙方承担。①出现装订、印刷质量问题和损坏；②配套不齐全；③提供的品种和数量与订货单不符；④甲方认为必须退刊的其它情况。</w:t>
      </w:r>
    </w:p>
    <w:p>
      <w:pPr>
        <w:jc w:val="both"/>
      </w:pPr>
      <w:r>
        <w:rPr>
          <w:sz w:val="21"/>
        </w:rPr>
        <w:t>（</w:t>
      </w:r>
      <w:r>
        <w:rPr>
          <w:sz w:val="21"/>
        </w:rPr>
        <w:t>4</w:t>
      </w:r>
      <w:r>
        <w:rPr>
          <w:sz w:val="21"/>
        </w:rPr>
        <w:t>）每包及每批期刊的品种、册数等必须与对应的清单相符。如果在验收过程中，同一批次期刊出现</w:t>
      </w:r>
      <w:r>
        <w:rPr>
          <w:sz w:val="21"/>
        </w:rPr>
        <w:t>3%</w:t>
      </w:r>
      <w:r>
        <w:rPr>
          <w:sz w:val="21"/>
        </w:rPr>
        <w:t>的期刊品种与相应清单不符，甲方有权退回该批次全部期刊，要求乙方重新核对，直至该批期刊与清单相符。乙方应在甲方退回后一周内重发交付甲方，由此产生的费用都由乙方负责。</w:t>
      </w:r>
    </w:p>
    <w:p>
      <w:pPr>
        <w:jc w:val="both"/>
      </w:pPr>
      <w:r>
        <w:rPr>
          <w:sz w:val="21"/>
        </w:rPr>
        <w:t>（</w:t>
      </w:r>
      <w:r>
        <w:rPr>
          <w:sz w:val="21"/>
        </w:rPr>
        <w:t>5</w:t>
      </w:r>
      <w:r>
        <w:rPr>
          <w:sz w:val="21"/>
        </w:rPr>
        <w:t>）乙方必须按甲方订购的期刊品种、数量及时供货，除出版推迟或发生影响协议履行的不可抗力事情外，供应期刊订到率未达到</w:t>
      </w:r>
      <w:r>
        <w:rPr>
          <w:sz w:val="21"/>
        </w:rPr>
        <w:t>97%</w:t>
      </w:r>
      <w:r>
        <w:rPr>
          <w:sz w:val="21"/>
        </w:rPr>
        <w:t>、或年到刊率未达到</w:t>
      </w:r>
      <w:r>
        <w:rPr>
          <w:sz w:val="21"/>
        </w:rPr>
        <w:t>95%</w:t>
      </w:r>
      <w:r>
        <w:rPr>
          <w:sz w:val="21"/>
        </w:rPr>
        <w:t>（乙方能够提供出版社尚未出版证明的不计入未到期刊）时，除退回期刊款外，乙方按未到期刊价格的</w:t>
      </w:r>
      <w:r>
        <w:rPr>
          <w:sz w:val="21"/>
        </w:rPr>
        <w:t>20%</w:t>
      </w:r>
      <w:r>
        <w:rPr>
          <w:sz w:val="21"/>
        </w:rPr>
        <w:t>向甲方支付违约金，违约金从期刊结算款中扣除；并且甲方可以解除本协议，由此引起的一切后果均由乙方承担。</w:t>
      </w:r>
    </w:p>
    <w:p>
      <w:pPr>
        <w:jc w:val="both"/>
      </w:pPr>
      <w:r>
        <w:rPr>
          <w:sz w:val="21"/>
        </w:rPr>
        <w:t>（</w:t>
      </w:r>
      <w:r>
        <w:rPr>
          <w:sz w:val="21"/>
        </w:rPr>
        <w:t>6</w:t>
      </w:r>
      <w:r>
        <w:rPr>
          <w:sz w:val="21"/>
        </w:rPr>
        <w:t>）实际操作过程中出现以上未列明的其他问题，由双方协商解决。</w:t>
      </w:r>
    </w:p>
    <w:p>
      <w:pPr>
        <w:jc w:val="both"/>
      </w:pPr>
      <w:r>
        <w:rPr>
          <w:sz w:val="21"/>
        </w:rPr>
        <w:t>（</w:t>
      </w:r>
      <w:r>
        <w:rPr>
          <w:sz w:val="21"/>
        </w:rPr>
        <w:t>7</w:t>
      </w:r>
      <w:r>
        <w:rPr>
          <w:sz w:val="21"/>
        </w:rPr>
        <w:t>）乙方具有专门的图书零售场地、良好的图书样书室等现采场地。</w:t>
      </w:r>
    </w:p>
    <w:p>
      <w:pPr>
        <w:ind w:firstLine="422"/>
        <w:jc w:val="left"/>
      </w:pPr>
    </w:p>
    <w:p>
      <w:pPr>
        <w:ind w:firstLine="422"/>
        <w:jc w:val="left"/>
      </w:pPr>
      <w:r>
        <w:rPr>
          <w:b/>
          <w:sz w:val="21"/>
        </w:rPr>
        <w:t>五、售后服务</w:t>
      </w:r>
    </w:p>
    <w:p>
      <w:pPr>
        <w:ind w:firstLine="420"/>
        <w:jc w:val="left"/>
      </w:pPr>
      <w:r>
        <w:rPr>
          <w:sz w:val="21"/>
        </w:rPr>
        <w:t>1. 乙方须专门指派一名业务人员，负责与甲方保持业务联系。</w:t>
      </w:r>
    </w:p>
    <w:p>
      <w:pPr>
        <w:ind w:firstLine="420"/>
        <w:jc w:val="left"/>
      </w:pPr>
      <w:r>
        <w:rPr>
          <w:sz w:val="21"/>
        </w:rPr>
        <w:t>2. 乙方在投递的每批图书、期刊中应随货附送与货物数量、品种、价格相符的详细电脑清单及汇总单，以便于双方协调验收和避免出现漏发、错投的现象。</w:t>
      </w:r>
    </w:p>
    <w:p>
      <w:pPr>
        <w:ind w:firstLine="420"/>
        <w:jc w:val="left"/>
      </w:pPr>
      <w:r>
        <w:rPr>
          <w:sz w:val="21"/>
        </w:rPr>
        <w:t>3. 对汇总单中漏发的图书、期刊，乙方必须立刻快递补齐。</w:t>
      </w:r>
    </w:p>
    <w:p>
      <w:pPr>
        <w:ind w:firstLine="420"/>
        <w:jc w:val="left"/>
      </w:pPr>
      <w:r>
        <w:rPr>
          <w:sz w:val="21"/>
        </w:rPr>
        <w:t>4. 对延迟出版及取消出版图书、期刊，乙方应及时向出版机构查询交涉，并同步通报甲方。</w:t>
      </w:r>
    </w:p>
    <w:p>
      <w:pPr>
        <w:ind w:firstLine="420"/>
        <w:jc w:val="left"/>
      </w:pPr>
      <w:r>
        <w:rPr>
          <w:sz w:val="21"/>
        </w:rPr>
        <w:t>5. 接甲方通知（含电话）后，乙方必须在一个工作日内作出反馈并提出处理问题的方案。</w:t>
      </w:r>
    </w:p>
    <w:p>
      <w:pPr>
        <w:ind w:firstLine="422"/>
        <w:jc w:val="left"/>
      </w:pPr>
    </w:p>
    <w:p>
      <w:pPr>
        <w:ind w:firstLine="422"/>
        <w:jc w:val="left"/>
      </w:pPr>
      <w:r>
        <w:rPr>
          <w:b/>
          <w:sz w:val="21"/>
        </w:rPr>
        <w:t>六、违约责任</w:t>
      </w:r>
    </w:p>
    <w:p>
      <w:pPr>
        <w:ind w:firstLine="420"/>
        <w:jc w:val="left"/>
      </w:pPr>
      <w:r>
        <w:rPr>
          <w:sz w:val="21"/>
        </w:rPr>
        <w:t>1. 乙方交付的货物及提供的服务不符合招标文件、报价文件或本合同规定的，甲方有权拒收，并且乙方须向甲方支付本合同总价5%的违约金并赔偿因此给甲方造成的损失。情节严重者甲方有权单方面解除合同，取消乙方供货资格，并要求乙方承担中标总价</w:t>
      </w:r>
      <w:r>
        <w:rPr>
          <w:sz w:val="21"/>
        </w:rPr>
        <w:t>30%</w:t>
      </w:r>
      <w:r>
        <w:rPr>
          <w:sz w:val="21"/>
        </w:rPr>
        <w:t>违约金。如甲方要求乙方重新或补充提供合格产品，乙方应当在甲方指定限期内提供。</w:t>
      </w:r>
    </w:p>
    <w:p>
      <w:pPr>
        <w:ind w:firstLine="420"/>
        <w:jc w:val="left"/>
      </w:pPr>
      <w:r>
        <w:rPr>
          <w:sz w:val="21"/>
        </w:rPr>
        <w:t>2</w:t>
      </w:r>
      <w:r>
        <w:rPr>
          <w:sz w:val="21"/>
        </w:rPr>
        <w:t>. 甲方无正当理由拒收货物/接受服务，甲方向乙方偿付本合同总额的5%的违约金。</w:t>
      </w:r>
    </w:p>
    <w:p>
      <w:pPr>
        <w:ind w:firstLine="420"/>
        <w:jc w:val="left"/>
      </w:pPr>
      <w:r>
        <w:rPr>
          <w:sz w:val="21"/>
        </w:rPr>
        <w:t>3</w:t>
      </w:r>
      <w:r>
        <w:rPr>
          <w:sz w:val="21"/>
        </w:rPr>
        <w:t>. 甲方若无正当理由逾期付款，则每日按本合同总额的万分之五向乙方偿付违约金，但该违约金不超过合同总额的5%。</w:t>
      </w:r>
    </w:p>
    <w:p>
      <w:pPr>
        <w:ind w:firstLine="420"/>
        <w:jc w:val="left"/>
      </w:pPr>
      <w:r>
        <w:rPr>
          <w:sz w:val="21"/>
        </w:rPr>
        <w:t>4</w:t>
      </w:r>
      <w:r>
        <w:rPr>
          <w:sz w:val="21"/>
        </w:rPr>
        <w:t>. 其他违约责任按《中华人民共和国民法典》处理。</w:t>
      </w:r>
    </w:p>
    <w:p>
      <w:pPr>
        <w:ind w:firstLine="420"/>
        <w:jc w:val="left"/>
      </w:pPr>
      <w:r>
        <w:rPr>
          <w:sz w:val="21"/>
        </w:rPr>
        <w:t>5.</w:t>
      </w:r>
      <w:r>
        <w:rPr>
          <w:sz w:val="21"/>
        </w:rPr>
        <w:t xml:space="preserve"> </w:t>
      </w:r>
      <w:r>
        <w:rPr>
          <w:sz w:val="21"/>
        </w:rPr>
        <w:t>在履行合同过程中，本合同一方当事人因第三人的原因造成违约的，应当向本合同对方当事人承担违约责任</w:t>
      </w:r>
      <w:r>
        <w:rPr>
          <w:sz w:val="21"/>
        </w:rPr>
        <w:t>:本合同违约方当事人和第三人之间的纠纷，依照法律规定自行解决和承担法律责任，如导致本合同对方受牵涉而发生损失(包括但不限于本合同违约方行为所致本合同对方的经济损失、派员参与纠纷解决的人工、交通、食宿费用、仲裁费、诉讼费、委托律师费用等)的，由本合同违约方承担赔偿责任。</w:t>
      </w:r>
    </w:p>
    <w:p>
      <w:pPr>
        <w:ind w:firstLine="422"/>
        <w:jc w:val="left"/>
      </w:pPr>
      <w:r>
        <w:rPr>
          <w:b/>
          <w:sz w:val="21"/>
        </w:rPr>
        <w:t>七、争议解决</w:t>
      </w:r>
    </w:p>
    <w:p>
      <w:pPr>
        <w:ind w:firstLine="422"/>
        <w:jc w:val="left"/>
      </w:pPr>
      <w:r>
        <w:rPr>
          <w:sz w:val="21"/>
        </w:rPr>
        <w:t xml:space="preserve">      </w:t>
      </w:r>
      <w:r>
        <w:rPr>
          <w:sz w:val="21"/>
        </w:rPr>
        <w:t>因履行合同产生的争议双方协商解决，协商不成提交汕头仲裁委员会仲裁，仲裁结果对双方具有法律约束力。</w:t>
      </w:r>
    </w:p>
    <w:p>
      <w:pPr>
        <w:ind w:firstLine="420"/>
        <w:jc w:val="left"/>
      </w:pPr>
    </w:p>
    <w:p>
      <w:pPr>
        <w:ind w:firstLine="420"/>
        <w:jc w:val="left"/>
      </w:pPr>
      <w:r>
        <w:rPr>
          <w:b/>
          <w:sz w:val="21"/>
        </w:rPr>
        <w:t>八、不可抗力</w:t>
      </w:r>
    </w:p>
    <w:p>
      <w:pPr>
        <w:ind w:firstLine="420"/>
        <w:jc w:val="left"/>
      </w:pPr>
      <w:r>
        <w:rPr>
          <w:sz w:val="21"/>
        </w:rPr>
        <w:t xml:space="preserve">      </w:t>
      </w:r>
      <w:r>
        <w:rPr>
          <w:sz w:val="21"/>
        </w:rPr>
        <w:t>任何一方由于重大自然灾害、政府管制、严重社会公共卫生事件等不可抗力原因不能履行合同时，应在不可抗力事件结束后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0"/>
        <w:jc w:val="left"/>
      </w:pPr>
    </w:p>
    <w:p>
      <w:pPr>
        <w:ind w:firstLine="420"/>
        <w:jc w:val="left"/>
      </w:pPr>
      <w:r>
        <w:rPr>
          <w:b/>
          <w:sz w:val="21"/>
        </w:rPr>
        <w:t>九、税费</w:t>
      </w:r>
    </w:p>
    <w:p>
      <w:pPr>
        <w:ind w:firstLine="420"/>
        <w:jc w:val="left"/>
      </w:pPr>
      <w:r>
        <w:rPr>
          <w:sz w:val="21"/>
        </w:rPr>
        <w:t xml:space="preserve">      </w:t>
      </w:r>
      <w:r>
        <w:rPr>
          <w:sz w:val="21"/>
        </w:rPr>
        <w:t>在中国境内、外发生的与本合同执行有关的一切税费均由乙方负担。</w:t>
      </w:r>
    </w:p>
    <w:p>
      <w:pPr>
        <w:ind w:firstLine="420"/>
        <w:jc w:val="left"/>
      </w:pPr>
    </w:p>
    <w:p>
      <w:pPr>
        <w:ind w:firstLine="420"/>
        <w:jc w:val="left"/>
      </w:pPr>
      <w:r>
        <w:rPr>
          <w:b/>
          <w:sz w:val="21"/>
        </w:rPr>
        <w:t>十、其他</w:t>
      </w:r>
    </w:p>
    <w:p>
      <w:pPr>
        <w:ind w:firstLine="420"/>
        <w:jc w:val="left"/>
      </w:pPr>
      <w:r>
        <w:rPr>
          <w:sz w:val="21"/>
        </w:rPr>
        <w:t xml:space="preserve">      </w:t>
      </w:r>
      <w:r>
        <w:rPr>
          <w:sz w:val="21"/>
        </w:rPr>
        <w:t>1. 本合同所有附件、采购文件、投标文件、中标通知书均为合同的有效组成部分，与本合同具有同等法律效力。</w:t>
      </w:r>
    </w:p>
    <w:p>
      <w:pPr>
        <w:ind w:firstLine="420"/>
        <w:jc w:val="left"/>
      </w:pPr>
      <w:r>
        <w:rPr>
          <w:sz w:val="21"/>
        </w:rPr>
        <w:t>2. 在执行本合同的过程中，所有经双方签署确认的文件（包括会议纪要、补充协议、往来信函）即成为本合同的有效组成部分。</w:t>
      </w:r>
    </w:p>
    <w:p>
      <w:pPr>
        <w:ind w:firstLine="420"/>
        <w:jc w:val="left"/>
      </w:pPr>
      <w:r>
        <w:rPr>
          <w:sz w:val="21"/>
        </w:rPr>
        <w:t>3. 合同各方一致确认以下通讯地址和联系方式为各方履行合同、解决合同争议时向接收方（其他方）送达商业文件信函或司法机关(法院、仲裁机构)诉讼、仲裁文书的送达地址和联系方式。</w:t>
      </w:r>
    </w:p>
    <w:p>
      <w:pPr>
        <w:ind w:firstLine="420"/>
        <w:jc w:val="left"/>
      </w:pPr>
      <w:r>
        <w:rPr>
          <w:sz w:val="21"/>
        </w:rPr>
        <w:t xml:space="preserve">    </w:t>
      </w:r>
      <w:r>
        <w:rPr>
          <w:sz w:val="21"/>
        </w:rPr>
        <w:t>甲方送达地址和联系方式为：汕头市金平区大学路</w:t>
      </w:r>
      <w:r>
        <w:rPr>
          <w:sz w:val="21"/>
        </w:rPr>
        <w:t>243 号，0754-86502954</w:t>
      </w:r>
    </w:p>
    <w:p>
      <w:pPr>
        <w:ind w:firstLine="420"/>
        <w:jc w:val="left"/>
      </w:pPr>
      <w:r>
        <w:rPr>
          <w:sz w:val="21"/>
        </w:rPr>
        <w:t xml:space="preserve">    </w:t>
      </w:r>
      <w:r>
        <w:rPr>
          <w:sz w:val="21"/>
        </w:rPr>
        <w:t>乙方送达地址和联系方式为：</w:t>
      </w:r>
      <w:r>
        <w:rPr>
          <w:sz w:val="21"/>
        </w:rPr>
        <w:t>xxxxxx，xxxxxxxx</w:t>
      </w:r>
    </w:p>
    <w:p>
      <w:pPr>
        <w:ind w:firstLine="420"/>
        <w:jc w:val="left"/>
      </w:pPr>
      <w:r>
        <w:rPr>
          <w:sz w:val="21"/>
        </w:rPr>
        <w:t xml:space="preserve">    </w:t>
      </w:r>
      <w:r>
        <w:rPr>
          <w:sz w:val="21"/>
        </w:rPr>
        <w:t>若任何一方通讯地址和联系方式需要变更的，应提前五个工作日向合同其他方送交书面变更告知书，否则上述通讯地址和联系方式适用至本合同履行完毕或争议经过一审、二审至案件执行终结时止。</w:t>
      </w:r>
    </w:p>
    <w:p>
      <w:pPr>
        <w:ind w:firstLine="420"/>
        <w:jc w:val="left"/>
      </w:pPr>
      <w:r>
        <w:rPr>
          <w:sz w:val="21"/>
        </w:rPr>
        <w:t>4.除甲方事先书面同意外，乙方不得部分或全部转让其应履行的合同项下的义务。</w:t>
      </w:r>
    </w:p>
    <w:p>
      <w:pPr>
        <w:ind w:firstLine="420"/>
        <w:jc w:val="left"/>
      </w:pPr>
    </w:p>
    <w:p>
      <w:pPr>
        <w:ind w:firstLine="420"/>
        <w:jc w:val="left"/>
      </w:pPr>
      <w:r>
        <w:rPr>
          <w:b/>
          <w:sz w:val="21"/>
        </w:rPr>
        <w:t>十一、合同生效</w:t>
      </w:r>
    </w:p>
    <w:p>
      <w:pPr>
        <w:ind w:firstLine="420"/>
        <w:jc w:val="left"/>
      </w:pPr>
      <w:r>
        <w:rPr>
          <w:sz w:val="21"/>
        </w:rPr>
        <w:t>1. 本合同在甲乙双方法人代表或其授权代表签字盖章后生效。</w:t>
      </w:r>
    </w:p>
    <w:p>
      <w:pPr>
        <w:ind w:firstLine="420"/>
        <w:jc w:val="left"/>
      </w:pPr>
      <w:r>
        <w:rPr>
          <w:sz w:val="21"/>
        </w:rPr>
        <w:t>2. 本协议正本一式四份，具有同等法律效力，甲乙双方各执贰份。</w:t>
      </w:r>
    </w:p>
    <w:p>
      <w:pPr>
        <w:ind w:firstLine="420"/>
        <w:jc w:val="left"/>
      </w:pPr>
      <w:r>
        <w:rPr>
          <w:sz w:val="21"/>
        </w:rPr>
        <w:t>以下无正文。</w:t>
      </w:r>
    </w:p>
    <w:p>
      <w:pPr>
        <w:ind w:firstLine="420"/>
        <w:jc w:val="left"/>
      </w:pPr>
    </w:p>
    <w:p>
      <w:pPr>
        <w:ind w:firstLine="420"/>
        <w:jc w:val="left"/>
      </w:pPr>
    </w:p>
    <w:tbl>
      <w:tblPr>
        <w:tblW w:w="0" w:type="auto"/>
        <w:tblBorders>
          <w:top w:val="none" w:color="000000" w:sz="4"/>
          <w:left w:val="none" w:color="000000" w:sz="4"/>
          <w:bottom w:val="none" w:color="000000" w:sz="4"/>
          <w:right w:val="none" w:color="000000" w:sz="4"/>
          <w:insideH w:val="none"/>
          <w:insideV w:val="none"/>
        </w:tblBorders>
      </w:tblPr>
      <w:tblGrid>
        <w:gridCol w:w="4288"/>
        <w:gridCol w:w="4004"/>
      </w:tblGrid>
      <w:tr>
        <w:tc>
          <w:tcPr>
            <w:tcW w:type="dxa" w:w="4288"/>
            <w:tcBorders>
              <w:top w:val="single" w:color="F2F2F2" w:sz="4"/>
              <w:left w:val="single" w:color="F2F2F2" w:sz="4"/>
              <w:bottom w:val="single" w:color="F2F2F2" w:sz="4"/>
              <w:right w:val="single" w:color="F2F2F2" w:sz="4"/>
            </w:tcBorders>
            <w:vAlign w:val="top"/>
          </w:tcPr>
          <w:p>
            <w:pPr>
              <w:jc w:val="both"/>
            </w:pPr>
            <w:r>
              <w:rPr>
                <w:sz w:val="21"/>
              </w:rPr>
              <w:t>甲方（盖章）：汕头大学</w:t>
            </w:r>
          </w:p>
        </w:tc>
        <w:tc>
          <w:tcPr>
            <w:tcW w:type="dxa" w:w="4004"/>
            <w:tcBorders>
              <w:top w:val="single" w:color="F2F2F2" w:sz="4"/>
              <w:left w:val="single" w:color="F2F2F2" w:sz="4"/>
              <w:bottom w:val="single" w:color="F2F2F2" w:sz="4"/>
              <w:right w:val="single" w:color="F2F2F2" w:sz="4"/>
            </w:tcBorders>
            <w:vAlign w:val="top"/>
          </w:tcPr>
          <w:p>
            <w:pPr>
              <w:jc w:val="both"/>
            </w:pPr>
            <w:r>
              <w:rPr>
                <w:sz w:val="21"/>
              </w:rPr>
              <w:t>乙方（盖章）：</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授权代表（签字）：</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授权代表（签字）：</w:t>
            </w:r>
          </w:p>
        </w:tc>
      </w:tr>
      <w:tr>
        <w:tc>
          <w:tcPr>
            <w:tcW w:type="dxa" w:w="4288"/>
            <w:tcBorders>
              <w:top w:val="none" w:color="000000" w:sz="4"/>
              <w:left w:val="single" w:color="F2F2F2" w:sz="4"/>
              <w:bottom w:val="single" w:color="F2F2F2" w:sz="4"/>
              <w:right w:val="single" w:color="F2F2F2" w:sz="4"/>
            </w:tcBorders>
            <w:vAlign w:val="top"/>
          </w:tcPr>
          <w:p>
            <w:pPr>
              <w:jc w:val="both"/>
            </w:pPr>
            <w:r>
              <w:rPr>
                <w:sz w:val="21"/>
              </w:rPr>
              <w:t>日期：</w:t>
            </w:r>
          </w:p>
        </w:tc>
        <w:tc>
          <w:tcPr>
            <w:tcW w:type="dxa" w:w="4004"/>
            <w:tcBorders>
              <w:top w:val="none" w:color="000000" w:sz="4"/>
              <w:left w:val="single" w:color="F2F2F2" w:sz="4"/>
              <w:bottom w:val="single" w:color="F2F2F2" w:sz="4"/>
              <w:right w:val="single" w:color="F2F2F2" w:sz="4"/>
            </w:tcBorders>
            <w:vAlign w:val="top"/>
          </w:tcPr>
          <w:p>
            <w:pPr>
              <w:jc w:val="both"/>
            </w:pPr>
            <w:r>
              <w:rPr>
                <w:sz w:val="21"/>
              </w:rPr>
              <w:t>日期：</w:t>
            </w:r>
          </w:p>
        </w:tc>
      </w:tr>
    </w:tbl>
    <w:p>
      <w:pPr>
        <w:ind w:firstLine="420"/>
        <w:jc w:val="left"/>
      </w:pPr>
    </w:p>
    <w:p>
      <w:pPr>
        <w:ind w:firstLine="420"/>
        <w:jc w:val="left"/>
      </w:pPr>
    </w:p>
    <w:p>
      <w:pPr>
        <w:ind w:firstLine="420"/>
        <w:jc w:val="left"/>
      </w:pPr>
      <w:r>
        <w:rPr>
          <w:sz w:val="21"/>
        </w:rPr>
        <w:t>签约地点：汕头市</w:t>
      </w: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440001-2024-03313</w:t>
      </w:r>
    </w:p>
    <w:p>
      <w:pPr>
        <w:jc w:val="center"/>
      </w:pPr>
      <w:r>
        <w:rPr>
          <w:b/>
          <w:sz w:val="24"/>
        </w:rPr>
        <w:t>采购项目编号：</w:t>
      </w:r>
      <w:r>
        <w:rPr>
          <w:b/>
          <w:sz w:val="24"/>
        </w:rPr>
        <w:t>GZGK24P022A0093Z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汕头大学2024年国内版图书、原版外文及港台图书和期刊采购项目（重招）</w:t>
      </w:r>
      <w:r>
        <w:rPr>
          <w:u w:val="single"/>
        </w:rPr>
        <w:t>”</w:t>
      </w:r>
      <w:r>
        <w:rPr/>
        <w:t>项目的招标[采购项目编号为：</w:t>
      </w:r>
      <w:r>
        <w:rPr>
          <w:u w:val="single"/>
        </w:rPr>
        <w:t>GZGK24P022A0093Z</w:t>
      </w:r>
      <w:r>
        <w:rPr/>
        <w:t>]，我方愿参与投标。</w:t>
      </w:r>
    </w:p>
    <w:p>
      <w:pPr>
        <w:ind w:firstLine="480"/>
      </w:pPr>
      <w:r>
        <w:rPr/>
        <w:t>我方确认收到贵方提供的</w:t>
      </w:r>
      <w:r>
        <w:rPr>
          <w:u w:val="single"/>
        </w:rPr>
        <w:t>“</w:t>
      </w:r>
      <w:r>
        <w:rPr>
          <w:u w:val="single"/>
        </w:rPr>
        <w:t>汕头大学2024年国内版图书、原版外文及港台图书和期刊采购项目（重招）</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汕头大学2024年国内版图书、原版外文及港台图书和期刊采购项目（重招）</w:t>
      </w:r>
      <w:r>
        <w:rPr/>
        <w:t>”项目采购[采购项目编号为</w:t>
      </w:r>
      <w:r>
        <w:rPr/>
        <w:t>GZGK24P022A0093Z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汕头大学2024年国内版图书、原版外文及港台图书和期刊采购项目（重招）</w:t>
      </w:r>
      <w:r>
        <w:rPr/>
        <w:t>招标中获中标（采购项目编号：</w:t>
      </w:r>
      <w:r>
        <w:rPr/>
        <w:t>GZGK24P022A0093Z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汕头大学2024年国内版图书、原版外文及港台图书和期刊采购项目（重招）</w:t>
      </w:r>
      <w:r>
        <w:rPr/>
        <w:t>”项目（采购项目编号：</w:t>
      </w:r>
      <w:r>
        <w:rPr/>
        <w:t>GZGK24P022A0093Z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lvl w:ilvl="1">
      <w:start w:val="1"/>
      <w:numFmt w:val="bullet"/>
      <w:lvlText w:val="⚫"/>
      <w:lvlJc w:val="left"/>
      <w:pPr>
        <w:ind w:left="360"/>
      </w:pPr>
    </w:lvl>
  </w:abstractNum>
  <w:abstractNum w:abstractNumId="1">
    <w:multiLevelType w:val="hybridMultilevel"/>
    <w:lvl w:ilvl="0">
      <w:start w:val="1"/>
      <w:numFmt w:val="bullet"/>
      <w:lvlText w:val="⚫"/>
      <w:lvlJc w:val="left"/>
      <w:pPr>
        <w:ind w:left="0"/>
      </w:pPr>
    </w:lvl>
    <w:lvl w:ilvl="1">
      <w:start w:val="1"/>
      <w:numFmt w:val="decimal"/>
      <w:lvlText w:val="%2."/>
      <w:lvlJc w:val="left"/>
      <w:pPr>
        <w:ind w:left="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