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440601-2024-00067</w:t>
      </w:r>
    </w:p>
    <w:p>
      <w:pPr>
        <w:jc w:val="center"/>
      </w:pPr>
      <w:r>
        <w:rPr>
          <w:b/>
          <w:sz w:val="24"/>
        </w:rPr>
        <w:t>采购项目编号：</w:t>
      </w:r>
      <w:r>
        <w:rPr>
          <w:b/>
          <w:sz w:val="24"/>
        </w:rPr>
        <w:t>GZGK23D262A0827Z</w:t>
      </w:r>
    </w:p>
    <w:p>
      <w:pPr>
        <w:jc w:val="center"/>
      </w:pPr>
      <w:r>
        <w:rPr>
          <w:b/>
          <w:sz w:val="24"/>
        </w:rPr>
        <w:t>项目名称：</w:t>
      </w:r>
      <w:r>
        <w:rPr>
          <w:b/>
          <w:sz w:val="24"/>
        </w:rPr>
        <w:t>高分辨全喷墨传感芯片量产成套工艺的产业化项目第二期仪器设备采购</w:t>
      </w:r>
    </w:p>
    <w:p>
      <w:pPr>
        <w:jc w:val="center"/>
      </w:pPr>
      <w:r>
        <w:rPr>
          <w:b/>
          <w:sz w:val="24"/>
        </w:rPr>
        <w:t>采购人：</w:t>
      </w:r>
      <w:r>
        <w:rPr>
          <w:b/>
          <w:sz w:val="24"/>
        </w:rPr>
        <w:t>佛山中科产业技术研究院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佛山中科产业技术研究院</w:t>
      </w:r>
      <w:r>
        <w:rPr/>
        <w:t>的委托，采用</w:t>
      </w:r>
      <w:r>
        <w:rPr/>
        <w:t>公开招标</w:t>
      </w:r>
      <w:r>
        <w:rPr/>
        <w:t>方式组织采购</w:t>
      </w:r>
      <w:r>
        <w:rPr/>
        <w:t>高分辨全喷墨传感芯片量产成套工艺的产业化项目第二期仪器设备采购</w:t>
      </w:r>
      <w:r>
        <w:rPr/>
        <w:t>。欢迎符合资格条件的国内供应商参加投标。</w:t>
      </w:r>
    </w:p>
    <w:p>
      <w:r>
        <w:rPr>
          <w:b/>
          <w:sz w:val="28"/>
        </w:rPr>
        <w:t>一.项目概述</w:t>
      </w:r>
    </w:p>
    <w:p>
      <w:r>
        <w:rPr>
          <w:b/>
          <w:sz w:val="24"/>
        </w:rPr>
        <w:t>1.名称与编号</w:t>
      </w:r>
    </w:p>
    <w:p>
      <w:pPr>
        <w:ind w:firstLine="480"/>
      </w:pPr>
      <w:r>
        <w:rPr/>
        <w:t>项目名称：</w:t>
      </w:r>
      <w:r>
        <w:rPr/>
        <w:t>高分辨全喷墨传感芯片量产成套工艺的产业化项目第二期仪器设备采购</w:t>
      </w:r>
    </w:p>
    <w:p>
      <w:pPr>
        <w:ind w:firstLine="480"/>
      </w:pPr>
      <w:r>
        <w:rPr/>
        <w:t>采购计划编号：</w:t>
      </w:r>
      <w:r>
        <w:rPr/>
        <w:t>440601-2024-00067</w:t>
      </w:r>
    </w:p>
    <w:p>
      <w:pPr>
        <w:ind w:firstLine="480"/>
      </w:pPr>
      <w:r>
        <w:rPr/>
        <w:t>采购项目编号：</w:t>
      </w:r>
      <w:r>
        <w:rPr/>
        <w:t>GZGK23D262A0827Z</w:t>
      </w:r>
    </w:p>
    <w:p>
      <w:pPr>
        <w:ind w:firstLine="480"/>
      </w:pPr>
      <w:r>
        <w:rPr/>
        <w:t>采购方式：</w:t>
      </w:r>
      <w:r>
        <w:rPr/>
        <w:t>公开招标</w:t>
      </w:r>
    </w:p>
    <w:p>
      <w:pPr>
        <w:ind w:firstLine="480"/>
      </w:pPr>
      <w:r>
        <w:rPr/>
        <w:t>预算金额：</w:t>
      </w:r>
      <w:r>
        <w:rPr/>
        <w:t>2,083,240.00</w:t>
      </w:r>
      <w:r>
        <w:rPr/>
        <w:t>元</w:t>
      </w:r>
    </w:p>
    <w:p>
      <w:r>
        <w:rPr>
          <w:b/>
          <w:sz w:val="24"/>
        </w:rPr>
        <w:t>2.项目内容及需求情况（采购项目技术规格、参数及要求）</w:t>
      </w:r>
    </w:p>
    <w:p>
      <w:pPr>
        <w:ind w:firstLine="480"/>
      </w:pPr>
    </w:p>
    <w:p/>
    <w:p>
      <w:r>
        <w:rPr/>
        <w:t>采购包1(高分辨全喷墨传感芯片量产成套工艺的产业化项目第二期仪器设备1):</w:t>
      </w:r>
    </w:p>
    <w:p>
      <w:r>
        <w:rPr/>
        <w:t>采购包预算金额：314,570.00元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高精密自动涂布机</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采购包2(高分辨全喷墨传感芯片量产成套工艺的产业化项目第二期仪器设备2):</w:t>
      </w:r>
    </w:p>
    <w:p>
      <w:r>
        <w:rPr/>
        <w:t>采购包预算金额：1,768,670.00元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其他分析仪器</w:t>
            </w:r>
          </w:p>
        </w:tc>
        <w:tc>
          <w:tcPr>
            <w:tcW w:type="dxa" w:w="2136"/>
          </w:tcPr>
          <w:p>
            <w:r>
              <w:rPr/>
              <w:t>真空紫外光刻机</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物理特性分析仪器及校准仪器</w:t>
            </w:r>
          </w:p>
        </w:tc>
        <w:tc>
          <w:tcPr>
            <w:tcW w:type="dxa" w:w="2136"/>
          </w:tcPr>
          <w:p>
            <w:r>
              <w:rPr/>
              <w:t>旋转流变仪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电化学分析仪器</w:t>
            </w:r>
          </w:p>
        </w:tc>
        <w:tc>
          <w:tcPr>
            <w:tcW w:type="dxa" w:w="2136"/>
          </w:tcPr>
          <w:p>
            <w:r>
              <w:rPr/>
              <w:t>纳米粒度仪及Zeta电位分析仪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其他机械设备</w:t>
            </w:r>
          </w:p>
        </w:tc>
        <w:tc>
          <w:tcPr>
            <w:tcW w:type="dxa" w:w="2136"/>
          </w:tcPr>
          <w:p>
            <w:r>
              <w:rPr/>
              <w:t>高压均质机</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者按照投标文件格式中《政府采购供应商资格信用承诺函》提供承诺函。</w:t>
      </w:r>
    </w:p>
    <w:p/>
    <w:p>
      <w:r>
        <w:rPr/>
        <w:t>3）具有良好的商业信誉和健全的财务会计制度：供应商必须具有良好的商业信誉和健全的财务会计制度（提供2022年度财务状况报告或基本开户行出具的资信证明）。或者按照投标文件格式中《政府采购供应商资格信用承诺函》提供承诺函。</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文件格式《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采购包1（高分辨全喷墨传感芯片量产成套工艺的产业化项目第二期仪器设备1）：</w:t>
      </w:r>
      <w:r>
        <w:rPr/>
        <w:t>本项目各采购包1不属于专门面向中小企业采购的项目。</w:t>
      </w:r>
    </w:p>
    <w:p>
      <w:pPr>
        <w:jc w:val="left"/>
      </w:pPr>
    </w:p>
    <w:p>
      <w:r>
        <w:rPr/>
        <w:t>采购包2（高分辨全喷墨传感芯片量产成套工艺的产业化项目第二期仪器设备2）：</w:t>
      </w:r>
      <w:r>
        <w:rPr/>
        <w:t>本项目各采购包2整体专门面向中小企业，全部货物须由中小微企业或监狱企业或残疾人福利性单位制造。</w:t>
      </w:r>
    </w:p>
    <w:p/>
    <w:p>
      <w:r>
        <w:rPr>
          <w:b/>
          <w:sz w:val="24"/>
        </w:rPr>
        <w:t>3.本项目特定的资格要求：</w:t>
      </w:r>
    </w:p>
    <w:p>
      <w:pPr>
        <w:ind w:firstLine="480"/>
      </w:pPr>
    </w:p>
    <w:p/>
    <w:p>
      <w:r>
        <w:rPr/>
        <w:t>采购包1（高分辨全喷墨传感芯片量产成套工艺的产业化项目第二期仪器设备1）：</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为本项目提供整体设计、规范编制或者项目管理、监理、检测等服务的供应商，不得再参与本项目投标。参照投标文件格式《投标函》相关承诺格式内容。</w:t>
      </w:r>
    </w:p>
    <w:p/>
    <w:p>
      <w:r>
        <w:rPr/>
        <w:t>3)已获取本项目采购文件。</w:t>
      </w:r>
    </w:p>
    <w:p/>
    <w:p>
      <w:r>
        <w:rPr/>
        <w:t>采购包2（高分辨全喷墨传感芯片量产成套工艺的产业化项目第二期仪器设备2）：</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为本项目提供整体设计、规范编制或者项目管理、监理、检测等服务的供应商，不得再参与本项目投标。参照投标文件格式《投标函》相关承诺格式内容。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佛山中科产业技术研究院</w:t>
      </w:r>
    </w:p>
    <w:p>
      <w:pPr>
        <w:ind w:firstLine="480"/>
      </w:pPr>
      <w:r>
        <w:rPr/>
        <w:t>地址：</w:t>
      </w:r>
      <w:r>
        <w:rPr/>
        <w:t>佛山市南海区桂城天佑三路3号南海科学馆A座5楼</w:t>
      </w:r>
    </w:p>
    <w:p>
      <w:pPr>
        <w:ind w:firstLine="480"/>
      </w:pPr>
      <w:r>
        <w:rPr/>
        <w:t>联系方式：</w:t>
      </w:r>
      <w:r>
        <w:rPr/>
        <w:t>0757-81019072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0757-83277829</w:t>
      </w:r>
    </w:p>
    <w:p>
      <w:r>
        <w:rPr>
          <w:b/>
          <w:sz w:val="24"/>
        </w:rPr>
        <w:t>3.项目联系方式</w:t>
      </w:r>
    </w:p>
    <w:p>
      <w:pPr>
        <w:ind w:firstLine="480"/>
      </w:pPr>
      <w:r>
        <w:rPr/>
        <w:t>项目联系人：</w:t>
      </w:r>
      <w:r>
        <w:rPr/>
        <w:t>黄兰香</w:t>
      </w:r>
    </w:p>
    <w:p>
      <w:pPr>
        <w:ind w:firstLine="480"/>
      </w:pPr>
      <w:r>
        <w:rPr/>
        <w:t>电话：</w:t>
      </w:r>
      <w:r>
        <w:rPr/>
        <w:t>0757-83277829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（一）项目编号：GZGK23D262A0827Z</w:t>
      </w:r>
      <w:r>
        <w:br/>
      </w:r>
      <w:r>
        <w:rPr/>
        <w:t>（二）项目名称：高分辨全喷墨传感芯片量产成套工艺的产业化项目第二期仪器设备采购</w:t>
      </w:r>
      <w:r>
        <w:br/>
      </w:r>
      <w:r>
        <w:rPr/>
        <w:t>（三）项目基本概况</w:t>
      </w:r>
      <w:r>
        <w:br/>
      </w:r>
      <w:r>
        <w:rPr/>
        <w:t>1.本次招标为佛山中科产业技术研究院所需设备。投标人应根据采购人提出的设备技术规格、产品及质量要求，综合考虑设备的适应性，选择具有最佳性能价格比的设备前来投标。</w:t>
      </w:r>
      <w:r>
        <w:br/>
      </w:r>
      <w:r>
        <w:rPr/>
        <w:t>2.安装地点：广东佛山</w:t>
      </w:r>
      <w:r>
        <w:br/>
      </w:r>
      <w:r>
        <w:rPr/>
        <w:t>（四）总体要求说明：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3.投标人应对采购需求中的设备性能和技术指标在响应详细内容中列出具体数值或明确承诺。如果投标人只注明“正偏离”或“无偏离”，将可能被视为“负偏离”，从而可能导致严重影响评标结果。</w:t>
      </w:r>
      <w:r>
        <w:br/>
      </w:r>
      <w:r>
        <w:rPr/>
        <w:t>4.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5.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6.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7.涉及到软件产品的，必须采购和使用正版软件，项目中涉及计算机办公产品的，必须预装正版操作系统软件。</w:t>
      </w:r>
      <w:r>
        <w:br/>
      </w:r>
      <w:r>
        <w:rPr/>
        <w:t>8.投标人没有在投标文件中注明偏离（文字说明或在响应表注明）的参数、配置、条款视为被投标人完全接受。</w:t>
      </w:r>
      <w:r>
        <w:br/>
      </w:r>
      <w:r>
        <w:rPr/>
        <w:t>9.投标人应保证，采购人在中华人民共和国使用该货物或货物的任何一部分时，免受第三方提出的侵犯其专利权、商标权、著作权或其它知识产权的起诉。</w:t>
      </w:r>
      <w:r>
        <w:br/>
      </w:r>
      <w:r>
        <w:rPr/>
        <w:t>10.不允许中标供应商转包、分包项目内容。</w:t>
      </w:r>
      <w:r>
        <w:br/>
      </w:r>
      <w:r>
        <w:rPr/>
        <w:t>11.小型和微型企业、监狱企业和残疾人福利性单位必须按照投标须知的内容提供相应的资料。</w:t>
      </w:r>
      <w:r>
        <w:br/>
      </w:r>
      <w:r>
        <w:rPr/>
        <w:t>12.需落实政府采购政策为：促进中小企业发展政策、支持监狱企业发展政策、支持残疾人福利性单位发展政策、优先采购节能产品、环境标志产品相关政策等。</w:t>
      </w:r>
      <w:r>
        <w:br/>
      </w:r>
      <w:r>
        <w:rPr/>
        <w:t>13.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14. 如果投标产品是进口产品的，中标供应商协助办理所有的进口手续（适用于采购包1）。</w:t>
      </w:r>
      <w:r>
        <w:br/>
      </w:r>
      <w:r>
        <w:rPr/>
        <w:t>15.根据国务院关税税则委员会关于对原产于境外进口商品加征关税的系列公告，中标人提供的货物原产地如来自境外，且该货物在公告的商品清单内的，加征的关税由中标人支付，采购人不负责加征的关税。投标人在投标时应充分考虑到上述风险（适用于采购包1）。</w:t>
      </w:r>
      <w:r>
        <w:br/>
      </w:r>
      <w:r>
        <w:rPr/>
        <w:t>（五）其他说明：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2.    纸质投标文件邮寄地址（邮寄地址：广东省佛山市禅城区季华二路佛山国家火炬创新创业园火炬大楼5楼501室），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（六）投标报价说明：</w:t>
      </w:r>
      <w:r>
        <w:br/>
      </w:r>
      <w:r>
        <w:rPr/>
        <w:t>价格包括：货物及零配件设计费、成本费、运输费、装卸费、保险费、安装费、调试费、初步验收及最终稳定性验收费用、材料费、技术服务费（含联络费、培训费、保修费）、各项税费及不可预见费等完成本招标内容所需的一切费用。</w:t>
      </w:r>
    </w:p>
    <w:p>
      <w:r>
        <w:rPr/>
        <w:t>（七）需执行国家相关标准、行业标准、地方标准或者其他标准、规范。</w:t>
      </w:r>
    </w:p>
    <w:p/>
    <w:p>
      <w:pPr>
        <w:ind w:firstLine="480"/>
      </w:pPr>
    </w:p>
    <w:p/>
    <w:p>
      <w:r>
        <w:rPr/>
        <w:t>采购包1（高分辨全喷墨传感芯片量产成套工艺的产业化项目第二期仪器设备1）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自合同签订之日90个日历日内完成交货、安装调试及初步验收合格并交付采购人使用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1期：支付比例40%,合同签订后，采购人向中标人支付合同总金额的40%；</w:t>
            </w:r>
          </w:p>
          <w:p/>
          <w:p>
            <w:r>
              <w:rPr/>
              <w:t>2期：支付比例20%,货物到达采购人指定地点后，采购人向中标人支付合同总金额的20%；</w:t>
            </w:r>
          </w:p>
          <w:p/>
          <w:p>
            <w:r>
              <w:rPr/>
              <w:t>3期：支付比例35%,货物完成安装、调试和试运行期（30日历天）满后进行初步验收，初步验收合格后，采购人向中标人支付合同总金额的35%；</w:t>
            </w:r>
          </w:p>
          <w:p/>
          <w:p>
            <w:r>
              <w:rPr/>
              <w:t>4期：支付比例5%,初步验收合格之日起，待设备磨合期1年后，确保设备稳定且检测分析数据准确组织设备最终稳定性验收。最终稳定性验收合格后，采购人向中标人支付合同总金额的5%。 备注： 1）支付方式包括支票、银行汇付（含电汇）等形式； 2）每笔款项支付前中标人须向采购人提供等额正式发票； 3）付款完毕并不代表合同履约的终止，中标人仍需按合同要求对设备进行质量保修。</w:t>
            </w:r>
          </w:p>
        </w:tc>
      </w:tr>
      <w:tr>
        <w:tc>
          <w:tcPr>
            <w:tcW w:type="dxa" w:w="4153"/>
          </w:tcPr>
          <w:p>
            <w:r>
              <w:rPr/>
              <w:t>验收要求</w:t>
            </w:r>
          </w:p>
        </w:tc>
        <w:tc>
          <w:tcPr>
            <w:tcW w:type="dxa" w:w="4153"/>
          </w:tcPr>
          <w:p/>
          <w:p/>
          <w:p/>
          <w:p>
            <w:r>
              <w:rPr/>
              <w:t>1期：1.投标人应提供项目详细的验收方案，包括验收项目、验收标准、验收实施办法等。具体验收方案以采购人要求并确认的为准。 2.初步验收：设备安装完工、调试成功后进入为期30日历天的试运行期，如试运行期内设备运行正常，达到采购人要求，则双方在试运行期满后20个工作日内组织初步验收。 3.最终稳定性验收：初步验收合格之日起，待设备磨合期1年后，确保设备稳定且检测分析数据准确须组织设备最终稳定性验收。 4.初步、最终稳定性验收标准 4.1依次序对照适用标准为： （1）符合中华人民共和国国家安全质量标准、环保标准或行业标准； （2）符合招标文件和响应承诺中采购人认可的合理最佳配置、参数及各项要求； （3）货物来源国家官方标准。 上述标准必须是有关官方机构发布的最新版本的标准。 4.2验收人员： （1）采购人，或其委托的第三方机构（如有）； （2）投标人。 4.3技术资料： （1）交货时，应同时交付产品使用手册、质量检验证书（合格证）等相关资料。 （2）验收后，应提供验收报告。 （3）资料提供方：投标人；资料受理方：采购人。 （4）验收结果确认：验收完毕由采购人及投标人在验收报告上签名确认。 5.凡列入《中华人民共和国实施强制性产品认证的产品目录》的产品在验收时必须出具CCC认证证书复印件，并在产品外部加施认证标志作为验收依据之一。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质量要求，1.货物特性：货物为原制造商制造的全新产品，无污染，无侵权行为、表面无划损、无任何缺陷隐患，在中国境内可依规安全合法使用。货物为原厂商未启封全新包装，具出厂合格证，序列号、包装箱号与出厂批号一致，并可追索查阅。所有随设备的附件必须齐全。如货物为进口产品，还须提供报关证明、来源合法证明等材料。 2.投标人应将关键主机设备的用户手册、保修手册、有关单证资料及配备件、随机工具等交付给采购人，使用操作及安全须知等重要资料应附有中文说明。</w:t>
            </w:r>
          </w:p>
          <w:p/>
          <w:p>
            <w:r>
              <w:rPr/>
              <w:t>（二）包装运输，1.包装：投标人所供货物必须为制造商原厂包装，包装质量符合国家相关标准。货物要求有包装材料保护运至现场。因包装不良造成的损失由投标人负责。 2.运输：投标人根据采购人指定的安装地点,负责将货物材料运送到现场，在此过程中的全部运输（包括但不限于装卸车、货物现场的搬运）所产生的全部费用由投标人负责。 3.装卸：各种货物，必须提供装箱清单，按装箱清单验收货物。 4.保管：货物在现场的保管由投标人负责，直至项目安装、验收完毕。</w:t>
            </w:r>
          </w:p>
          <w:p/>
          <w:p>
            <w:r>
              <w:rPr/>
              <w:t>（三）安装与调试，1.人员及工作要求：投标人应设安装负责人，负责安装协调管理工作。 2.前提要求：投标人应提交详细安装进度表。 3.安装施工：安装所需工具、设施、物料由投标人自备、自费运到现场，完工后自费搬走；投标人必须充分考虑现场的安装难度及安全性，做好施工现场的安全防护、文明施工工作。安装过程中发生的一切责任及费用由投标人负责，如对其他物品或结构造成损坏必须照价赔偿。本项目的施工、安装如涉及场地的开孔及修复，其费用由投标人负责；投标人要做好现场使用安全及文明措施，按有关规定规范设置围栏围护，安全警示等，如发生安全事故，一切责任及费用由投标人负责。 4.调试：投标人必须依照招标文件的要求和投标文件的承诺，将设备、系统安装并调试至正常运行的最佳状态。 5.其他：设备的拆箱、安装、通电、调试等项工作由投标人负责，但必须在采购人指定人员的参与下进行。调试的原始记录须经各方签字后作为验收的文件之一。</w:t>
            </w:r>
          </w:p>
          <w:p/>
          <w:p>
            <w:r>
              <w:rPr/>
              <w:t>（四）技术培训，1.基本要求：投标人须根据采购人的要求，安排熟悉本项目的专业技术人员在采购人指定的地点（佛山市内）向采购人提供完备、全面的产品使用培训。 2.培训目的：确保采购人能够对设备、系统有足够的了解，能够独立进行日常操作、管理和维护。 3.培训资料：投标人必须为所有被培训人员提供培训用文字资料和讲义等相关用品。所有的资料必须是中文书写。 4.培训费用：所有与本项目有关的培训费用包括差旅、食宿、教材、资料等由投标人负责，均计入本项目投标报价中。</w:t>
            </w:r>
          </w:p>
          <w:p/>
          <w:p>
            <w:r>
              <w:rPr/>
              <w:t>（五）质量保证期，1.质量保证期（简称“质保期”）均为3年，质保期自货物初步验收合格之日起计算，质保期内投标人对所供货物实行包修、包换、包维护保养。质保期后提供终身维修保养服务，具体费用另行商定。 2.若国家和/或生产厂家对本项目所涉及货物的质保期的规定高于本项目的要求，应按国家和/或生产厂家的规定执行。注：具体投标人须在投标文件中承诺。 3.质保期内，在非人为因素情况下，一切维修换件保养费用和备品备件均由投标人提供，费用均包含在投标报价中。 4.质保期内，如设备或零部件因非人为因素出现故障而造成短期停用时，则质保期相应顺延。如停用时间累计超过20天时，则质保期在状态恢复正常时重新计算或对故障设备予以重新更换。 5.任何时候，投标人均不能免除因货物本身的缺陷所应负的责任。 6.在质保期内投标人应提供系统升级方面的技术支持服务，服务应当包含在本项目投标报价中。 7.质保期满前1个月内，投标人须派技术人员到采购人指定现场对全部货物进行一次全面检修。</w:t>
            </w:r>
          </w:p>
          <w:p/>
          <w:p>
            <w:r>
              <w:rPr/>
              <w:t>（六）售后服务，1.投标人应须承诺为用户提供完善的服务，提供及时、方便、全面、有效的技术支持与售后服务，保证项目建设任务的顺利完成，达到项目建设目标。 2.本项目中所采购的相关设备及配件的安装、集成和调试，均需制造商的技术支持服务。投标人承诺技术方案中所涉及的软件，从验收完毕之日开始计算，提供3年免费升级和支持服务，所有费用计入报价总价，不再另行收取。 3.提供7×24小时电话维护响应服务：若电话中无法解决，4小时内到达现场。如是硬件问题必须48小时内解决，否则需提供不低于使用设备的备件，保证系统的正常运行。 4.保修期内，如用户所购设备各部件发生非人为故障，投标人应上门更换同种品牌不低于原规格型号的新部件。 5.保修期内同一硬件一个月内连续3次出现同一故障，投标人须无偿更换同一档次设备。 6.所有设备保修服务方式均为投标人上门保修，即由投标人派人员到用户设备使用现场维修，由此产生的一切费用均由投标人承担。所有设备必须在明显位置贴有维修热线电话的标识。投标人必须提出保修期内的维修、维护内容和范围的服务方案（不限于产品、技术、模块、部件和升级等内容）。 7.搬迁服务 1.质保期内，采购人向投标人提出对设备进行移动或搬迁的，投标人须派人员到用户设备使用现场指导移动及配合搬迁工作，并及时进行安装调试，确保设备以最快的速度达到最佳运行状态，费用均包含在投标报价中。 2.质保期后，采购人向投标人提出对设备进行移动或搬迁的，投标人须派人员到用户设备使用现场指导移动及配合搬迁工作，并提供二次安装调试服务，确保设备以最快的速度达到最佳运行状态，设备移动或搬迁过程中产生的服务费、包装费、人工费、运输费、装卸费等双方另行协商约定。</w:t>
            </w:r>
          </w:p>
          <w:p/>
          <w:p>
            <w:r>
              <w:rPr/>
              <w:t>（七）保密及知识产权，1.保密要求 （1）在项目建设中涉及到的工程项目，应当签订保密条款或者另行签订保密协议，内容应包括：设计的内容和范围；应具备的保密条件及权限；承担的保密责任；保密纪律和违纪处罚；保密项目的有效时间等。 （2）合同双方保密的内容、期限和泄漏秘密应承担的责任，双方可以约定，无论合同是否发生变更、解除、终止，本条款均有效。 （3）采购人提供给中标人的资料不得向第三方泄密。一旦发生由中标人造成的资料外泄，按《保密法》等追究其责任。 2.知识产权要求 （1）中标人应保证，采购人在中华人民共和国使用该货物或货物的任何一部分时，如受第三方提出的侵犯其专利权、商标权或其他知识产权的起诉，由中标人承担一切责任。 （2）中标人为执行本合同而提供的技术资料、软件的使用权归采购人所有。</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高精密自动涂布机</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bl>
    <w:p/>
    <w:p>
      <w:r>
        <w:rPr>
          <w:b/>
        </w:rPr>
        <w:t>附表</w:t>
      </w:r>
      <w:r>
        <w:rPr>
          <w:b/>
        </w:rPr>
        <w:t>一</w:t>
      </w:r>
      <w:r>
        <w:rPr>
          <w:b/>
        </w:rPr>
        <w:t>：</w:t>
      </w:r>
      <w:r>
        <w:rPr>
          <w:b/>
        </w:rPr>
        <w:t>高精密自动涂布机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1.主机电源: 电源: 100 - 240 V, 50 - 60 Hz；</w:t>
            </w:r>
          </w:p>
          <w:p>
            <w:pPr>
              <w:jc w:val="both"/>
            </w:pPr>
            <w:r>
              <w:rPr>
                <w:sz w:val="21"/>
              </w:rPr>
              <w:t>▲</w:t>
            </w:r>
            <w:r>
              <w:rPr>
                <w:sz w:val="21"/>
              </w:rPr>
              <w:t>2.涂膜速度：最小精度0.1</w:t>
            </w:r>
            <w:r>
              <w:rPr>
                <w:sz w:val="21"/>
              </w:rPr>
              <w:t>mm/s</w:t>
            </w:r>
            <w:r>
              <w:rPr>
                <w:sz w:val="21"/>
              </w:rPr>
              <w:t>；</w:t>
            </w:r>
          </w:p>
          <w:p>
            <w:pPr>
              <w:jc w:val="both"/>
            </w:pPr>
            <w:r>
              <w:rPr>
                <w:sz w:val="21"/>
              </w:rPr>
              <w:t>3.干燥测试时间: 0.1</w:t>
            </w:r>
            <w:r>
              <w:rPr>
                <w:sz w:val="21"/>
              </w:rPr>
              <w:t>- 108 min/cm</w:t>
            </w:r>
            <w:r>
              <w:rPr>
                <w:sz w:val="21"/>
              </w:rPr>
              <w:t>，加热温度最高</w:t>
            </w:r>
            <w:r>
              <w:rPr>
                <w:sz w:val="21"/>
              </w:rPr>
              <w:t>1</w:t>
            </w:r>
            <w:r>
              <w:rPr>
                <w:sz w:val="21"/>
              </w:rPr>
              <w:t>40</w:t>
            </w:r>
            <w:r>
              <w:rPr>
                <w:sz w:val="21"/>
              </w:rPr>
              <w:t>℃；</w:t>
            </w:r>
          </w:p>
          <w:p>
            <w:pPr>
              <w:jc w:val="both"/>
            </w:pPr>
            <w:r>
              <w:rPr>
                <w:sz w:val="21"/>
              </w:rPr>
              <w:t>▲</w:t>
            </w:r>
            <w:r>
              <w:rPr>
                <w:sz w:val="21"/>
              </w:rPr>
              <w:t>4.涂布参数：湿膜厚度：0~1000μm；涂膜精度：&lt;1</w:t>
            </w:r>
            <w:r>
              <w:rPr>
                <w:sz w:val="21"/>
              </w:rPr>
              <w:t>%</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采购包2（高分辨全喷墨传感芯片量产成套工艺的产业化项目第二期仪器设备2）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自合同签订之日150个日历日内完成交货、安装调试及初步验收合格并交付采购人使用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1期：支付比例30%,合同签订后，采购人向中标人支付合同总金额的30%；</w:t>
            </w:r>
          </w:p>
          <w:p/>
          <w:p>
            <w:r>
              <w:rPr/>
              <w:t>2期：支付比例30%,货物到达采购人指定地点后，采购人向中标人支付合同总金额的30%；</w:t>
            </w:r>
          </w:p>
          <w:p/>
          <w:p>
            <w:r>
              <w:rPr/>
              <w:t>3期：支付比例35%,货物完成安装、调试和试运行期（30日历天）满后进行初步验收，初步验收合格后，采购人向中标人支付合同总金额的35%；</w:t>
            </w:r>
          </w:p>
          <w:p/>
          <w:p>
            <w:r>
              <w:rPr/>
              <w:t>4期：支付比例5%,初步验收合格之日起，待设备磨合期1年后，确保设备稳定且检测分析数据准确组织设备最终稳定性验收。最终稳定性验收合格后，采购人向中标人支付合同总金额的5%。 备注： 1）支付方式包括支票、银行汇付（含电汇）等形式； 2）每笔款项支付前中标人须向采购人提供等额正式发票； 3）付款完毕并不代表合同履约的终止，中标人仍需按合同要求对设备进行质量保修。</w:t>
            </w:r>
          </w:p>
        </w:tc>
      </w:tr>
      <w:tr>
        <w:tc>
          <w:tcPr>
            <w:tcW w:type="dxa" w:w="4153"/>
          </w:tcPr>
          <w:p>
            <w:r>
              <w:rPr/>
              <w:t>验收要求</w:t>
            </w:r>
          </w:p>
        </w:tc>
        <w:tc>
          <w:tcPr>
            <w:tcW w:type="dxa" w:w="4153"/>
          </w:tcPr>
          <w:p/>
          <w:p/>
          <w:p/>
          <w:p>
            <w:r>
              <w:rPr/>
              <w:t>1期：1.投标人应提供项目详细的验收方案，包括验收项目、验收标准、验收实施办法等。具体验收方案以采购人要求并确认的为准。 2.初步验收：设备安装完工、调试成功后进入为期30日历天的试运行期，如试运行期内设备运行正常，达到采购人要求，则双方在试运行期满后20个工作日内组织初步验收。 3.最终稳定性验收：初步验收合格之日起，待设备磨合期1年后，确保设备稳定且检测分析数据准确须组织设备最终稳定性验收。 4.初步、最终稳定性验收标准 4.1依次序对照适用标准为： （1）符合中华人民共和国国家安全质量标准、环保标准或行业标准； （2）符合招标文件和响应承诺中采购人认可的合理最佳配置、参数及各项要求； （3）货物来源国家官方标准。 上述标准必须是有关官方机构发布的最新版本的标准。 4.2验收人员： （1）采购人，或其委托的第三方机构（如有）； （2）投标人。 4.3技术资料： （1）交货时，应同时交付产品使用手册、质量检验证书（合格证）等相关资料。 （2）验收后，应提供验收报告。 （3）资料提供方：投标人；资料受理方：采购人。 （4）验收结果确认：验收完毕由采购人及投标人在验收报告上签名确认。 5.凡列入《中华人民共和国实施强制性产品认证的产品目录》的产品在验收时必须出具CCC认证证书复印件，并在产品外部加施认证标志作为验收依据之一。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质量要求，1.货物特性：货物为原制造商制造的全新产品，无污染，无侵权行为、表面无划损、无任何缺陷隐患，在中国境内可依规安全合法使用。货物为原厂商未启封全新包装，具出厂合格证，序列号、包装箱号与出厂批号一致，并可追索查阅。所有随设备的附件必须齐全。如货物为进口产品，还须提供报关证明、来源合法证明等材料。 2.投标人应将关键主机设备的用户手册、保修手册、有关单证资料及配备件、随机工具等交付给采购人，使用操作及安全须知等重要资料应附有中文说明。</w:t>
            </w:r>
          </w:p>
          <w:p/>
          <w:p>
            <w:r>
              <w:rPr/>
              <w:t>（二）包装运输，1.包装：投标人所供货物必须为制造商原厂包装，包装质量符合国家相关标准。货物要求有包装材料保护运至现场。因包装不良造成的损失由投标人负责。 2.运输：投标人根据采购人指定的安装地点,负责将货物材料运送到现场，在此过程中的全部运输（包括但不限于装卸车、货物现场的搬运）所产生的全部费用由投标人负责。 3.装卸：各种货物，必须提供装箱清单，按装箱清单验收货物。 4.保管：货物在现场的保管由投标人负责，直至项目安装、验收完毕。</w:t>
            </w:r>
          </w:p>
          <w:p/>
          <w:p>
            <w:r>
              <w:rPr/>
              <w:t>（三）安装与调试，1.人员及工作要求：投标人应设安装负责人，负责安装协调管理工作。 2.前提要求：投标人应提交详细安装进度表。 3.安装施工：安装所需工具、设施、物料由投标人自备、自费运到现场，完工后自费搬走；投标人必须充分考虑现场的安装难度及安全性，做好施工现场的安全防护、文明施工工作。安装过程中发生的一切责任及费用由投标人负责，如对其他物品或结构造成损坏必须照价赔偿。本项目的施工、安装如涉及场地的开孔及修复，其费用由投标人负责；投标人要做好现场使用安全及文明措施，按有关规定规范设置围栏围护，安全警示等，如发生安全事故，一切责任及费用由投标人负责。 4.调试：投标人必须依照招标文件的要求和投标文件的承诺，将设备、系统安装并调试至正常运行的最佳状态。 5.其他：设备的拆箱、安装、通电、调试等项工作由投标人负责，但必须在采购人指定人员的参与下进行。调试的原始记录须经各方签字后作为验收的文件之一。</w:t>
            </w:r>
          </w:p>
          <w:p/>
          <w:p>
            <w:r>
              <w:rPr/>
              <w:t>（四）技术培训，1.基本要求：投标人须根据采购人的要求，安排熟悉本项目的专业技术人员在采购人指定的地点（佛山市内）向采购人提供完备、全面的产品使用培训。 2.培训目的：确保采购人能够对设备、系统有足够的了解，能够独立进行日常操作、管理和维护。 3.培训资料：投标人必须为所有被培训人员提供培训用文字资料和讲义等相关用品。所有的资料必须是中文书写。 4.培训费用：所有与本项目有关的培训费用包括差旅、食宿、教材、资料等由投标人负责，均计入本项目投标报价中。</w:t>
            </w:r>
          </w:p>
          <w:p/>
          <w:p>
            <w:r>
              <w:rPr/>
              <w:t>（五）质量保证期，1.质量保证期（简称“质保期”）均为3年，质保期自货物初步验收合格之日起计算，质保期内投标人对所供货物实行包修、包换、包维护保养。质保期后提供终身维修保养服务，具体费用另行商定。 2.若国家和/或生产厂家对本项目所涉及货物的质保期的规定高于本项目的要求，应按国家和/或生产厂家的规定执行。注：具体投标人须在投标文件中承诺。 3.质保期内，在非人为因素情况下，一切维修换件保养费用和备品备件均由投标人提供，费用均包含在投标报价中。 4.质保期内，如设备或零部件因非人为因素出现故障而造成短期停用时，则质保期相应顺延。如停用时间累计超过20天时，则质保期在状态恢复正常时重新计算或对故障设备予以重新更换。 5.任何时候，投标人均不能免除因货物本身的缺陷所应负的责任。 6.在质保期内投标人应提供系统升级方面的技术支持服务，服务应当包含在本项目投标报价中。 7.质保期满前1个月内，投标人须派技术人员到采购人指定现场对全部货物进行一次全面检修。</w:t>
            </w:r>
          </w:p>
          <w:p/>
          <w:p>
            <w:r>
              <w:rPr/>
              <w:t>（六）售后服务，1.投标人应须承诺为用户提供完善的服务，提供及时、方便、全面、有效的技术支持与售后服务，保证项目建设任务的顺利完成，达到项目建设目标。 2.本项目中所采购的相关设备及配件的安装、集成和调试，均需制造商的技术支持服务。投标人承诺技术方案中所涉及的软件，从验收完毕之日开始计算，提供3年免费升级和支持服务，所有费用计入报价总价，不再另行收取。 3.提供7×24小时电话维护响应服务：若电话中无法解决，4小时内到达现场。如是硬件问题必须48小时内解决，否则需提供不低于使用设备的备件，保证系统的正常运行。 4.保修期内，如用户所购设备各部件发生非人为故障，投标人应上门更换同种品牌不低于原规格型号的新部件。 5.保修期内同一硬件一个月内连续3次出现同一故障，投标人须无偿更换同一档次设备。 6.所有设备保修服务方式均为投标人上门保修，即由投标人派人员到用户设备使用现场维修，由此产生的一切费用均由投标人承担。所有设备必须在明显位置贴有维修热线电话的标识。投标人必须提出保修期内的维修、维护内容和范围的服务方案（不限于产品、技术、模块、部件和升级等内容）。 7.搬迁服务 1.质保期内，采购人向投标人提出对设备进行移动或搬迁的，投标人须派人员到用户设备使用现场指导移动及配合搬迁工作，并及时进行安装调试，确保设备以最快的速度达到最佳运行状态，费用均包含在投标报价中。 2.质保期后，采购人向投标人提出对设备进行移动或搬迁的，投标人须派人员到用户设备使用现场指导移动及配合搬迁工作，并提供二次安装调试服务，确保设备以最快的速度达到最佳运行状态，设备移动或搬迁过程中产生的服务费、包装费、人工费、运输费、装卸费等双方另行协商约定。</w:t>
            </w:r>
          </w:p>
          <w:p/>
          <w:p>
            <w:r>
              <w:rPr/>
              <w:t>（七）保密及知识产权，1.保密要求 （1）在项目建设中涉及到的工程项目，应当签订保密条款或者另行签订保密协议，内容应包括：设计的内容和范围；应具备的保密条件及权限；承担的保密责任；保密纪律和违纪处罚；保密项目的有效时间等。 （2）合同双方保密的内容、期限和泄漏秘密应承担的责任，双方可以约定，无论合同是否发生变更、解除、终止，本条款均有效。 （3）采购人提供给中标人的资料不得向第三方泄密。一旦发生由中标人造成的资料外泄，按《保密法》等追究其责任。 2.知识产权要求 （1）中标人应保证，采购人在中华人民共和国使用该货物或货物的任何一部分时，如受第三方提出的侵犯其专利权、商标权或其他知识产权的起诉，由中标人承担一切责任。 （2）中标人为执行本合同而提供的技术资料、软件的使用权归采购人所有。</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其他分析仪器</w:t>
            </w:r>
          </w:p>
        </w:tc>
        <w:tc>
          <w:tcPr>
            <w:tcW w:type="dxa" w:w="831"/>
          </w:tcPr>
          <w:p>
            <w:pPr>
              <w:jc w:val="left"/>
            </w:pPr>
            <w:r>
              <w:rPr/>
              <w:t>真空紫外光刻机</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物理特性分析仪器及校准仪器</w:t>
            </w:r>
          </w:p>
        </w:tc>
        <w:tc>
          <w:tcPr>
            <w:tcW w:type="dxa" w:w="831"/>
          </w:tcPr>
          <w:p>
            <w:pPr>
              <w:jc w:val="left"/>
            </w:pPr>
            <w:r>
              <w:rPr/>
              <w:t>旋转流变仪</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电化学分析仪器</w:t>
            </w:r>
          </w:p>
        </w:tc>
        <w:tc>
          <w:tcPr>
            <w:tcW w:type="dxa" w:w="831"/>
          </w:tcPr>
          <w:p>
            <w:pPr>
              <w:jc w:val="left"/>
            </w:pPr>
            <w:r>
              <w:rPr/>
              <w:t>纳米粒度仪及Zeta电位分析仪</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其他机械设备</w:t>
            </w:r>
          </w:p>
        </w:tc>
        <w:tc>
          <w:tcPr>
            <w:tcW w:type="dxa" w:w="831"/>
          </w:tcPr>
          <w:p>
            <w:pPr>
              <w:jc w:val="left"/>
            </w:pPr>
            <w:r>
              <w:rPr/>
              <w:t>高压均质机</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bl>
    <w:p/>
    <w:p>
      <w:r>
        <w:rPr>
          <w:b/>
        </w:rPr>
        <w:t>附表</w:t>
      </w:r>
      <w:r>
        <w:rPr>
          <w:b/>
        </w:rPr>
        <w:t>一</w:t>
      </w:r>
      <w:r>
        <w:rPr>
          <w:b/>
        </w:rPr>
        <w:t>：</w:t>
      </w:r>
      <w:r>
        <w:rPr>
          <w:b/>
        </w:rPr>
        <w:t>真空紫外光刻机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设备主要部件技术参数要求：</w:t>
            </w:r>
          </w:p>
          <w:p>
            <w:pPr>
              <w:jc w:val="both"/>
            </w:pPr>
            <w:r>
              <w:rPr>
                <w:b/>
                <w:sz w:val="21"/>
              </w:rPr>
              <w:t>（一）紫外光刻系统（含光学对准系统）：</w:t>
            </w:r>
          </w:p>
          <w:p>
            <w:pPr>
              <w:jc w:val="both"/>
            </w:pPr>
            <w:r>
              <w:rPr>
                <w:sz w:val="21"/>
              </w:rPr>
              <w:t>▲</w:t>
            </w:r>
            <w:r>
              <w:rPr>
                <w:sz w:val="21"/>
              </w:rPr>
              <w:t>1. 光源种类：172nm UVC；</w:t>
            </w:r>
          </w:p>
          <w:p>
            <w:pPr>
              <w:jc w:val="both"/>
            </w:pPr>
            <w:r>
              <w:rPr>
                <w:sz w:val="21"/>
              </w:rPr>
              <w:t>2. 最大有效光辐照面积：≥150mm×150mm（</w:t>
            </w:r>
            <w:r>
              <w:rPr>
                <w:sz w:val="21"/>
              </w:rPr>
              <w:t>≥</w:t>
            </w:r>
            <w:r>
              <w:rPr>
                <w:sz w:val="21"/>
              </w:rPr>
              <w:t>4 英寸）；</w:t>
            </w:r>
          </w:p>
          <w:p>
            <w:pPr>
              <w:jc w:val="both"/>
            </w:pPr>
            <w:r>
              <w:rPr>
                <w:sz w:val="21"/>
              </w:rPr>
              <w:t>▲</w:t>
            </w:r>
            <w:r>
              <w:rPr>
                <w:sz w:val="21"/>
              </w:rPr>
              <w:t>3. 光照强度（出光口处）：≥30mW/cm</w:t>
            </w:r>
            <w:r>
              <w:rPr>
                <w:sz w:val="21"/>
                <w:vertAlign w:val="superscript"/>
              </w:rPr>
              <w:t>2</w:t>
            </w:r>
            <w:r>
              <w:rPr>
                <w:sz w:val="21"/>
              </w:rPr>
              <w:t>；</w:t>
            </w:r>
          </w:p>
          <w:p>
            <w:pPr>
              <w:jc w:val="both"/>
            </w:pPr>
            <w:r>
              <w:rPr>
                <w:sz w:val="21"/>
              </w:rPr>
              <w:t>4. 使用气源：氮气；</w:t>
            </w:r>
          </w:p>
          <w:p>
            <w:pPr>
              <w:jc w:val="both"/>
            </w:pPr>
            <w:r>
              <w:rPr>
                <w:sz w:val="21"/>
              </w:rPr>
              <w:t>5. 冷却方式（配有水循环系统）：水冷；</w:t>
            </w:r>
          </w:p>
          <w:p>
            <w:pPr>
              <w:jc w:val="both"/>
            </w:pPr>
            <w:r>
              <w:rPr>
                <w:sz w:val="21"/>
              </w:rPr>
              <w:t>6. 光源外形尺寸：450mm×300mm×140mm；</w:t>
            </w:r>
          </w:p>
          <w:p>
            <w:pPr>
              <w:jc w:val="both"/>
            </w:pPr>
            <w:r>
              <w:rPr>
                <w:sz w:val="21"/>
              </w:rPr>
              <w:t>7. 使用环境：小型洁净室。</w:t>
            </w:r>
          </w:p>
          <w:p>
            <w:pPr>
              <w:jc w:val="both"/>
            </w:pPr>
            <w:r>
              <w:rPr>
                <w:b/>
                <w:sz w:val="21"/>
              </w:rPr>
              <w:t>（二）光源专用电源模块：</w:t>
            </w:r>
          </w:p>
          <w:p>
            <w:pPr>
              <w:jc w:val="both"/>
            </w:pPr>
            <w:r>
              <w:rPr>
                <w:sz w:val="21"/>
              </w:rPr>
              <w:t>1. 额定功率：300W；</w:t>
            </w:r>
          </w:p>
          <w:p>
            <w:pPr>
              <w:jc w:val="both"/>
            </w:pPr>
            <w:r>
              <w:rPr>
                <w:sz w:val="21"/>
              </w:rPr>
              <w:t>2. 额定电压：220V，50Hz。</w:t>
            </w:r>
          </w:p>
          <w:p>
            <w:pPr>
              <w:jc w:val="both"/>
            </w:pPr>
            <w:r>
              <w:rPr>
                <w:b/>
                <w:sz w:val="21"/>
              </w:rPr>
              <w:t>（三）微调光学平台：</w:t>
            </w:r>
          </w:p>
          <w:p>
            <w:pPr>
              <w:jc w:val="both"/>
            </w:pPr>
            <w:r>
              <w:rPr>
                <w:sz w:val="21"/>
              </w:rPr>
              <w:t>1</w:t>
            </w:r>
            <w:r>
              <w:rPr>
                <w:sz w:val="21"/>
              </w:rPr>
              <w:t>. R 轴调节行程：±5°；</w:t>
            </w:r>
          </w:p>
          <w:p>
            <w:pPr>
              <w:jc w:val="both"/>
            </w:pPr>
            <w:r>
              <w:rPr>
                <w:sz w:val="21"/>
              </w:rPr>
              <w:t>▲</w:t>
            </w:r>
            <w:r>
              <w:rPr>
                <w:sz w:val="21"/>
              </w:rPr>
              <w:t>2</w:t>
            </w:r>
            <w:r>
              <w:rPr>
                <w:sz w:val="21"/>
              </w:rPr>
              <w:t>. 调节精度：</w:t>
            </w:r>
            <w:r>
              <w:rPr>
                <w:sz w:val="21"/>
              </w:rPr>
              <w:t>≥</w:t>
            </w:r>
            <w:r>
              <w:rPr>
                <w:sz w:val="21"/>
              </w:rPr>
              <w:t>1μm。</w:t>
            </w:r>
          </w:p>
          <w:p>
            <w:pPr>
              <w:jc w:val="both"/>
            </w:pPr>
            <w:r>
              <w:rPr>
                <w:b/>
                <w:sz w:val="21"/>
              </w:rPr>
              <w:t>（四）高分辨率光学成像系统：</w:t>
            </w:r>
          </w:p>
          <w:p>
            <w:pPr>
              <w:jc w:val="both"/>
            </w:pPr>
            <w:r>
              <w:rPr>
                <w:sz w:val="21"/>
              </w:rPr>
              <w:t>▲</w:t>
            </w:r>
            <w:r>
              <w:rPr>
                <w:sz w:val="21"/>
              </w:rPr>
              <w:t>1. 相机分辨率：</w:t>
            </w:r>
            <w:r>
              <w:rPr>
                <w:sz w:val="21"/>
              </w:rPr>
              <w:t>≥</w:t>
            </w:r>
            <w:r>
              <w:rPr>
                <w:sz w:val="21"/>
              </w:rPr>
              <w:t>1280×1024；</w:t>
            </w:r>
          </w:p>
          <w:p>
            <w:pPr>
              <w:jc w:val="both"/>
            </w:pPr>
            <w:r>
              <w:rPr>
                <w:sz w:val="21"/>
              </w:rPr>
              <w:t>2. 可调倍率：0.7 倍</w:t>
            </w:r>
            <w:r>
              <w:rPr>
                <w:sz w:val="21"/>
              </w:rPr>
              <w:t>-</w:t>
            </w:r>
            <w:r>
              <w:rPr>
                <w:sz w:val="21"/>
              </w:rPr>
              <w:t>4 倍；</w:t>
            </w:r>
          </w:p>
          <w:p>
            <w:pPr>
              <w:jc w:val="both"/>
            </w:pPr>
            <w:r>
              <w:rPr>
                <w:sz w:val="21"/>
              </w:rPr>
              <w:t>3</w:t>
            </w:r>
            <w:r>
              <w:rPr>
                <w:sz w:val="21"/>
              </w:rPr>
              <w:t>.</w:t>
            </w:r>
            <w:r>
              <w:rPr>
                <w:sz w:val="21"/>
              </w:rPr>
              <w:t>光斑</w:t>
            </w:r>
            <w:r>
              <w:rPr>
                <w:sz w:val="21"/>
              </w:rPr>
              <w:t>直径</w:t>
            </w:r>
            <w:r>
              <w:rPr>
                <w:sz w:val="21"/>
              </w:rPr>
              <w:t>大小：</w:t>
            </w:r>
            <w:r>
              <w:rPr>
                <w:sz w:val="21"/>
              </w:rPr>
              <w:t>10mm</w:t>
            </w:r>
            <w:r>
              <w:rPr>
                <w:sz w:val="21"/>
              </w:rPr>
              <w:t>。</w:t>
            </w:r>
          </w:p>
          <w:p>
            <w:pPr>
              <w:jc w:val="both"/>
            </w:pPr>
            <w:r>
              <w:rPr>
                <w:b/>
                <w:sz w:val="21"/>
              </w:rPr>
              <w:t>（五）晶圆定位平台：</w:t>
            </w:r>
          </w:p>
          <w:p>
            <w:pPr>
              <w:jc w:val="both"/>
            </w:pPr>
            <w:r>
              <w:rPr>
                <w:sz w:val="21"/>
              </w:rPr>
              <w:t>1.粗定位移动尺寸：≥3</w:t>
            </w:r>
            <w:r>
              <w:rPr>
                <w:sz w:val="21"/>
              </w:rPr>
              <w:t>00</w:t>
            </w:r>
            <w:r>
              <w:rPr>
                <w:sz w:val="21"/>
              </w:rPr>
              <w:t>mm（X）×200mm（Y） ×150mm（Z）。</w:t>
            </w:r>
          </w:p>
          <w:p>
            <w:pPr>
              <w:jc w:val="both"/>
            </w:pPr>
            <w:r>
              <w:rPr>
                <w:b/>
                <w:sz w:val="21"/>
              </w:rPr>
              <w:t>（六）真空吸附参数：</w:t>
            </w:r>
          </w:p>
          <w:p>
            <w:pPr>
              <w:jc w:val="both"/>
            </w:pPr>
            <w:r>
              <w:rPr>
                <w:sz w:val="21"/>
              </w:rPr>
              <w:t>▲</w:t>
            </w:r>
            <w:r>
              <w:rPr>
                <w:sz w:val="21"/>
              </w:rPr>
              <w:t>1. 真空度：</w:t>
            </w:r>
            <w:r>
              <w:rPr>
                <w:sz w:val="21"/>
              </w:rPr>
              <w:t>≥</w:t>
            </w:r>
            <w:r>
              <w:rPr>
                <w:sz w:val="21"/>
              </w:rPr>
              <w:t>-92Kpa；</w:t>
            </w:r>
          </w:p>
          <w:p>
            <w:pPr>
              <w:jc w:val="both"/>
            </w:pPr>
            <w:r>
              <w:rPr>
                <w:sz w:val="21"/>
              </w:rPr>
              <w:t>2</w:t>
            </w:r>
            <w:r>
              <w:rPr>
                <w:sz w:val="21"/>
              </w:rPr>
              <w:t>. 功率：550W；</w:t>
            </w:r>
          </w:p>
          <w:p>
            <w:pPr>
              <w:jc w:val="both"/>
            </w:pPr>
            <w:r>
              <w:rPr>
                <w:sz w:val="21"/>
              </w:rPr>
              <w:t>3</w:t>
            </w:r>
            <w:r>
              <w:rPr>
                <w:sz w:val="21"/>
              </w:rPr>
              <w:t>. 额定电压：220V，50Hz；</w:t>
            </w:r>
          </w:p>
          <w:p>
            <w:pPr>
              <w:jc w:val="both"/>
            </w:pPr>
            <w:r>
              <w:rPr>
                <w:sz w:val="21"/>
              </w:rPr>
              <w:t>4</w:t>
            </w:r>
            <w:r>
              <w:rPr>
                <w:sz w:val="21"/>
              </w:rPr>
              <w:t>. 进气螺纹：G1/4。</w:t>
            </w:r>
          </w:p>
          <w:p>
            <w:pPr>
              <w:jc w:val="both"/>
            </w:pPr>
            <w:r>
              <w:rPr>
                <w:b/>
                <w:sz w:val="21"/>
              </w:rPr>
              <w:t>（七）大理石工作平台：</w:t>
            </w:r>
          </w:p>
          <w:p>
            <w:pPr>
              <w:jc w:val="both"/>
            </w:pPr>
            <w:r>
              <w:rPr>
                <w:sz w:val="21"/>
              </w:rPr>
              <w:t>1. 工作台外形尺寸：~1500mm×800mm×750mm；</w:t>
            </w:r>
          </w:p>
          <w:p>
            <w:pPr>
              <w:jc w:val="both"/>
            </w:pPr>
            <w:r>
              <w:rPr>
                <w:sz w:val="21"/>
              </w:rPr>
              <w:t>2. 工作台平面度：10μm；</w:t>
            </w:r>
          </w:p>
          <w:p>
            <w:pPr>
              <w:jc w:val="both"/>
            </w:pPr>
            <w:r>
              <w:rPr>
                <w:sz w:val="21"/>
              </w:rPr>
              <w:t>3. 抗压强度：240</w:t>
            </w:r>
            <w:r>
              <w:rPr>
                <w:sz w:val="21"/>
              </w:rPr>
              <w:t xml:space="preserve"> -</w:t>
            </w:r>
            <w:r>
              <w:rPr>
                <w:sz w:val="21"/>
              </w:rPr>
              <w:t>245N/m；</w:t>
            </w:r>
          </w:p>
          <w:p>
            <w:pPr>
              <w:jc w:val="both"/>
            </w:pPr>
            <w:r>
              <w:rPr>
                <w:sz w:val="21"/>
              </w:rPr>
              <w:t>4. 精度等级：国标00 级（0.005mm/m）。</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旋转流变仪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（一）主机参数：</w:t>
            </w:r>
          </w:p>
          <w:p>
            <w:pPr>
              <w:jc w:val="both"/>
            </w:pPr>
            <w:r>
              <w:rPr>
                <w:sz w:val="21"/>
              </w:rPr>
              <w:t>▲</w:t>
            </w:r>
            <w:r>
              <w:rPr>
                <w:sz w:val="21"/>
              </w:rPr>
              <w:t>1.扭矩： 0.001</w:t>
            </w:r>
            <w:r>
              <w:rPr>
                <w:sz w:val="21"/>
              </w:rPr>
              <w:t>-</w:t>
            </w:r>
            <w:r>
              <w:rPr>
                <w:sz w:val="21"/>
              </w:rPr>
              <w:t>30 mNm ，最小分辨率：</w:t>
            </w:r>
            <w:r>
              <w:rPr>
                <w:sz w:val="21"/>
              </w:rPr>
              <w:t>≤</w:t>
            </w:r>
            <w:r>
              <w:rPr>
                <w:sz w:val="21"/>
              </w:rPr>
              <w:t>0.0001；</w:t>
            </w:r>
          </w:p>
          <w:p>
            <w:pPr>
              <w:jc w:val="both"/>
            </w:pPr>
            <w:r>
              <w:rPr>
                <w:sz w:val="21"/>
              </w:rPr>
              <w:t>▲</w:t>
            </w:r>
            <w:r>
              <w:rPr>
                <w:sz w:val="21"/>
              </w:rPr>
              <w:t>2.量程：1</w:t>
            </w:r>
            <w:r>
              <w:rPr>
                <w:sz w:val="21"/>
              </w:rPr>
              <w:t>-</w:t>
            </w:r>
            <w:r>
              <w:rPr>
                <w:sz w:val="21"/>
              </w:rPr>
              <w:t>300,000 mPa.s；温度测试范围：可满足-50</w:t>
            </w:r>
            <w:r>
              <w:rPr>
                <w:sz w:val="21"/>
              </w:rPr>
              <w:t>-</w:t>
            </w:r>
            <w:r>
              <w:rPr>
                <w:sz w:val="21"/>
              </w:rPr>
              <w:t>300℃；</w:t>
            </w:r>
          </w:p>
          <w:p>
            <w:pPr>
              <w:jc w:val="both"/>
            </w:pPr>
            <w:r>
              <w:rPr>
                <w:sz w:val="21"/>
              </w:rPr>
              <w:t>▲</w:t>
            </w:r>
            <w:r>
              <w:rPr>
                <w:sz w:val="21"/>
              </w:rPr>
              <w:t>3.精度：</w:t>
            </w:r>
            <w:r>
              <w:rPr>
                <w:sz w:val="21"/>
              </w:rPr>
              <w:t>±</w:t>
            </w:r>
            <w:r>
              <w:rPr>
                <w:sz w:val="21"/>
              </w:rPr>
              <w:t>1% ；</w:t>
            </w:r>
          </w:p>
          <w:p>
            <w:pPr>
              <w:jc w:val="both"/>
            </w:pPr>
            <w:r>
              <w:rPr>
                <w:sz w:val="21"/>
              </w:rPr>
              <w:t>4.重复性：</w:t>
            </w:r>
            <w:r>
              <w:rPr>
                <w:sz w:val="21"/>
              </w:rPr>
              <w:t>±</w:t>
            </w:r>
            <w:r>
              <w:rPr>
                <w:sz w:val="21"/>
              </w:rPr>
              <w:t>0.2%转速：0.1-1500RPM。</w:t>
            </w:r>
          </w:p>
          <w:p>
            <w:pPr>
              <w:jc w:val="both"/>
            </w:pPr>
            <w:r>
              <w:rPr>
                <w:b/>
                <w:sz w:val="21"/>
              </w:rPr>
              <w:t>（二）配置信息：</w:t>
            </w:r>
          </w:p>
          <w:p>
            <w:pPr>
              <w:jc w:val="both"/>
            </w:pPr>
            <w:r>
              <w:rPr>
                <w:sz w:val="21"/>
              </w:rPr>
              <w:t>1.电动升降支架：包含温度传感器*2、水平仪*1；设计温度范围：可满足-5</w:t>
            </w:r>
            <w:r>
              <w:rPr>
                <w:sz w:val="21"/>
              </w:rPr>
              <w:t xml:space="preserve"> -</w:t>
            </w:r>
            <w:r>
              <w:rPr>
                <w:sz w:val="21"/>
              </w:rPr>
              <w:t>175℃；分辨率：</w:t>
            </w:r>
            <w:r>
              <w:rPr>
                <w:sz w:val="21"/>
              </w:rPr>
              <w:t>≤</w:t>
            </w:r>
            <w:r>
              <w:rPr>
                <w:sz w:val="21"/>
              </w:rPr>
              <w:t>0.01°C；温度稳定性：</w:t>
            </w:r>
            <w:r>
              <w:rPr>
                <w:sz w:val="21"/>
              </w:rPr>
              <w:t>±</w:t>
            </w:r>
            <w:r>
              <w:rPr>
                <w:sz w:val="21"/>
              </w:rPr>
              <w:t>0.05℃；</w:t>
            </w:r>
          </w:p>
          <w:p>
            <w:pPr>
              <w:jc w:val="both"/>
            </w:pPr>
            <w:r>
              <w:rPr>
                <w:sz w:val="21"/>
              </w:rPr>
              <w:t>2.</w:t>
            </w:r>
            <w:r>
              <w:rPr>
                <w:sz w:val="21"/>
              </w:rPr>
              <w:t>椎板系统：包含</w:t>
            </w:r>
            <w:r>
              <w:rPr>
                <w:sz w:val="21"/>
              </w:rPr>
              <w:t>40mm 微量锥板转子系统*1，量程：1-300,000mPa.s；样品量：0.150ml。</w:t>
            </w:r>
          </w:p>
          <w:p>
            <w:pPr>
              <w:jc w:val="both"/>
            </w:pPr>
            <w:r>
              <w:rPr>
                <w:sz w:val="21"/>
              </w:rPr>
              <w:t>3.</w:t>
            </w:r>
            <w:r>
              <w:rPr>
                <w:sz w:val="21"/>
              </w:rPr>
              <w:t>中文工作站：台式工作站，支持</w:t>
            </w:r>
            <w:r>
              <w:rPr>
                <w:sz w:val="21"/>
              </w:rPr>
              <w:t>WIN10操作系统；</w:t>
            </w:r>
          </w:p>
          <w:p>
            <w:pPr>
              <w:jc w:val="both"/>
            </w:pPr>
            <w:r>
              <w:rPr>
                <w:sz w:val="21"/>
              </w:rPr>
              <w:t>（三）标准样品：</w:t>
            </w:r>
            <w:r>
              <w:rPr>
                <w:sz w:val="21"/>
              </w:rPr>
              <w:t>20ml，粘度9.6mPa.s。</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纳米粒度仪及Zeta电位分析仪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（一）设备参数：</w:t>
            </w:r>
          </w:p>
          <w:p>
            <w:pPr>
              <w:jc w:val="both"/>
            </w:pPr>
            <w:r>
              <w:rPr>
                <w:sz w:val="21"/>
              </w:rPr>
              <w:t>▲</w:t>
            </w:r>
            <w:r>
              <w:rPr>
                <w:sz w:val="21"/>
              </w:rPr>
              <w:t>1.粒度测试范围：可满足0.3nm-15um；</w:t>
            </w:r>
          </w:p>
          <w:p>
            <w:pPr>
              <w:jc w:val="both"/>
            </w:pPr>
            <w:r>
              <w:rPr>
                <w:sz w:val="21"/>
              </w:rPr>
              <w:t>2.分子量：340Da~20MDa；</w:t>
            </w:r>
          </w:p>
          <w:p>
            <w:pPr>
              <w:jc w:val="both"/>
            </w:pPr>
            <w:r>
              <w:rPr>
                <w:sz w:val="21"/>
              </w:rPr>
              <w:t>▲</w:t>
            </w:r>
            <w:r>
              <w:rPr>
                <w:sz w:val="21"/>
              </w:rPr>
              <w:t>3.粘度测试范围：可满足0.01 cp – 100 cp。</w:t>
            </w:r>
          </w:p>
          <w:p>
            <w:pPr>
              <w:jc w:val="both"/>
            </w:pPr>
            <w:r>
              <w:rPr>
                <w:b/>
                <w:sz w:val="21"/>
              </w:rPr>
              <w:t>（二）仪器配置配件</w:t>
            </w:r>
            <w:r>
              <w:rPr>
                <w:sz w:val="21"/>
              </w:rPr>
              <w:t>：</w:t>
            </w:r>
          </w:p>
          <w:p>
            <w:pPr>
              <w:jc w:val="both"/>
            </w:pPr>
            <w:r>
              <w:rPr>
                <w:sz w:val="21"/>
              </w:rPr>
              <w:t>1.聚苯乙烯比色皿</w:t>
            </w:r>
            <w:r>
              <w:rPr>
                <w:sz w:val="21"/>
              </w:rPr>
              <w:t>*</w:t>
            </w:r>
            <w:r>
              <w:rPr>
                <w:sz w:val="21"/>
              </w:rPr>
              <w:t>100个；玻璃比色皿</w:t>
            </w:r>
            <w:r>
              <w:rPr>
                <w:sz w:val="21"/>
              </w:rPr>
              <w:t>*</w:t>
            </w:r>
            <w:r>
              <w:rPr>
                <w:sz w:val="21"/>
              </w:rPr>
              <w:t>2个；毛细管样品池</w:t>
            </w:r>
            <w:r>
              <w:rPr>
                <w:sz w:val="21"/>
              </w:rPr>
              <w:t>*</w:t>
            </w:r>
            <w:r>
              <w:rPr>
                <w:sz w:val="21"/>
              </w:rPr>
              <w:t>5个；Zeta电位参考样品</w:t>
            </w:r>
            <w:r>
              <w:rPr>
                <w:sz w:val="21"/>
              </w:rPr>
              <w:t>*</w:t>
            </w:r>
            <w:r>
              <w:rPr>
                <w:sz w:val="21"/>
              </w:rPr>
              <w:t>2支；电源适配器</w:t>
            </w:r>
            <w:r>
              <w:rPr>
                <w:sz w:val="21"/>
              </w:rPr>
              <w:t>*</w:t>
            </w:r>
            <w:r>
              <w:rPr>
                <w:sz w:val="21"/>
              </w:rPr>
              <w:t>1个。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高压均质机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（一）分散机系统：</w:t>
            </w:r>
          </w:p>
          <w:p>
            <w:pPr>
              <w:jc w:val="both"/>
            </w:pPr>
            <w:r>
              <w:rPr>
                <w:sz w:val="21"/>
              </w:rPr>
              <w:t>▲</w:t>
            </w:r>
            <w:r>
              <w:rPr>
                <w:sz w:val="21"/>
              </w:rPr>
              <w:t>1</w:t>
            </w:r>
            <w:r>
              <w:rPr>
                <w:sz w:val="21"/>
              </w:rPr>
              <w:t>.</w:t>
            </w:r>
            <w:r>
              <w:rPr>
                <w:sz w:val="21"/>
              </w:rPr>
              <w:t>压力传感器量程：</w:t>
            </w:r>
            <w:r>
              <w:rPr>
                <w:sz w:val="21"/>
              </w:rPr>
              <w:t>0~2000bar，精度：</w:t>
            </w:r>
            <w:r>
              <w:rPr>
                <w:sz w:val="21"/>
              </w:rPr>
              <w:t>≤</w:t>
            </w:r>
            <w:r>
              <w:rPr>
                <w:sz w:val="21"/>
              </w:rPr>
              <w:t>1bar；</w:t>
            </w:r>
          </w:p>
          <w:p>
            <w:pPr>
              <w:jc w:val="both"/>
            </w:pPr>
            <w:r>
              <w:rPr>
                <w:sz w:val="21"/>
              </w:rPr>
              <w:t>2</w:t>
            </w:r>
            <w:r>
              <w:rPr>
                <w:sz w:val="21"/>
              </w:rPr>
              <w:t>．最大设计压力：</w:t>
            </w:r>
            <w:r>
              <w:rPr>
                <w:sz w:val="21"/>
              </w:rPr>
              <w:t>1800bar，流量：30-40L/H；</w:t>
            </w:r>
          </w:p>
          <w:p>
            <w:pPr>
              <w:jc w:val="both"/>
            </w:pPr>
            <w:r>
              <w:rPr>
                <w:sz w:val="21"/>
              </w:rPr>
              <w:t>3．主机最大功率5</w:t>
            </w:r>
            <w:r>
              <w:rPr>
                <w:sz w:val="21"/>
              </w:rPr>
              <w:t>.5 kW</w:t>
            </w:r>
            <w:r>
              <w:rPr>
                <w:sz w:val="21"/>
              </w:rPr>
              <w:t>。</w:t>
            </w:r>
          </w:p>
          <w:p>
            <w:pPr>
              <w:jc w:val="both"/>
            </w:pPr>
            <w:r>
              <w:rPr>
                <w:b/>
                <w:sz w:val="21"/>
              </w:rPr>
              <w:t>（二）冷却系统：</w:t>
            </w:r>
          </w:p>
          <w:p>
            <w:pPr>
              <w:jc w:val="both"/>
            </w:pPr>
            <w:r>
              <w:rPr>
                <w:sz w:val="21"/>
              </w:rPr>
              <w:t>1.最低出料温度≤5度。</w:t>
            </w:r>
          </w:p>
          <w:p>
            <w:pPr>
              <w:jc w:val="both"/>
            </w:pPr>
            <w:r>
              <w:rPr>
                <w:b/>
                <w:sz w:val="21"/>
              </w:rPr>
              <w:t>（三）管罐系统：</w:t>
            </w:r>
          </w:p>
          <w:p>
            <w:pPr>
              <w:jc w:val="both"/>
            </w:pPr>
            <w:r>
              <w:rPr>
                <w:sz w:val="21"/>
              </w:rPr>
              <w:t>▲</w:t>
            </w:r>
            <w:r>
              <w:rPr>
                <w:sz w:val="21"/>
              </w:rPr>
              <w:t>1. ≥10L双层搅拌罐及管道系统（带电机搅拌）。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佛山中科产业技术研究院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代理服务费由中标供应商在领取中标通知书前向采购代理机构支付，本项目的招标代理服务费收费标准以各采购包中标金额为计算基数参照《国家发展改革委关于降低部分建设项目收费标准规范收费行为等有关问题的通知》（发改价格【2011】534号）的规定下浮20%进行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黄兰香</w:t>
      </w:r>
    </w:p>
    <w:p>
      <w:pPr>
        <w:ind w:firstLine="480"/>
      </w:pPr>
      <w:r>
        <w:rPr/>
        <w:t>电话：</w:t>
      </w:r>
      <w:r>
        <w:rPr/>
        <w:t>0757-83277829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高分辨全喷墨传感芯片量产成套工艺的产业化项目第二期仪器设备1)：综合评分法,是指投标文件满足招标文件全部实质性要求，且按照评审因素的量化指标评审得分最高的投标人为中标候选人的评标方法。（最低报价不是中标的唯一依据。）</w:t>
      </w:r>
    </w:p>
    <w:p/>
    <w:p>
      <w:r>
        <w:rPr/>
        <w:t>采购包2(高分辨全喷墨传感芯片量产成套工艺的产业化项目第二期仪器设备2)：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采购包1（高分辨全喷墨传感芯片量产成套工艺的产业化项目第二期仪器设备1）：</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采购包2（高分辨全喷墨传感芯片量产成套工艺的产业化项目第二期仪器设备2）：</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（3）投标人须按“政策适用性说明”填写，并同时提供国家确定的认证机构出具的处于有效期之内的认证证书； （4）扣除方法如下：节能产品金额占项目总金额的比重达到30％及以上的，扣2％。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（3）投标人须按“政策适用性说明”填写，并同时提供国家确定的认证机构出具的处于有效期之内的认证证书； （4）扣除方法如下：环境标志产品金额占项目总金额的比重达到30％及以上的，扣2％。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采购包1（高分辨全喷墨传感芯片量产成套工艺的产业化项目第二期仪器设备1）：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者按照投标文件格式中《政府采购供应商资格信用承诺函》提供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供应商必须具有良好的商业信誉和健全的财务会计制度（提供2022年度财务状况报告或基本开户行出具的资信证明）。或者按照投标文件格式中《政府采购供应商资格信用承诺函》提供承诺函。</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文件格式《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为本项目提供整体设计、规范编制或者项目管理、监理、检测等服务的供应商，不得再参与本项目投标。参照投标文件格式《投标函》相关承诺格式内容。</w:t>
            </w:r>
          </w:p>
        </w:tc>
      </w:tr>
      <w:tr>
        <w:tc>
          <w:tcPr>
            <w:tcW w:type="dxa" w:w="890"/>
          </w:tcPr>
          <w:p>
            <w:r>
              <w:rPr/>
              <w:t>8</w:t>
            </w:r>
          </w:p>
        </w:tc>
        <w:tc>
          <w:tcPr>
            <w:tcW w:type="dxa" w:w="3178"/>
          </w:tcPr>
          <w:p>
            <w:r>
              <w:rPr/>
              <w:t>特定资格要求1</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本项目各采购包1不属于专门面向中小企业采购的项目。</w:t>
            </w:r>
          </w:p>
        </w:tc>
      </w:tr>
    </w:tbl>
    <w:p/>
    <w:p>
      <w:r>
        <w:rPr/>
        <w:t>采购包2（高分辨全喷墨传感芯片量产成套工艺的产业化项目第二期仪器设备2）：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者按照投标文件格式中《政府采购供应商资格信用承诺函》提供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供应商必须具有良好的商业信誉和健全的财务会计制度（提供2022年度财务状况报告或基本开户行出具的资信证明）。或者按照投标文件格式中《政府采购供应商资格信用承诺函》提供承诺函。</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文件格式《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为本项目提供整体设计、规范编制或者项目管理、监理、检测等服务的供应商，不得再参与本项目投标。参照投标文件格式《投标函》相关承诺格式内容。</w:t>
            </w:r>
          </w:p>
        </w:tc>
      </w:tr>
      <w:tr>
        <w:tc>
          <w:tcPr>
            <w:tcW w:type="dxa" w:w="890"/>
          </w:tcPr>
          <w:p>
            <w:r>
              <w:rPr/>
              <w:t>8</w:t>
            </w:r>
          </w:p>
        </w:tc>
        <w:tc>
          <w:tcPr>
            <w:tcW w:type="dxa" w:w="3178"/>
          </w:tcPr>
          <w:p>
            <w:r>
              <w:rPr/>
              <w:t>特定资格要求1</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本项目各采购包2整体专门面向中小企业，全部货物须由中小微企业或监狱企业或残疾人福利性单位制造。</w:t>
            </w:r>
          </w:p>
        </w:tc>
      </w:tr>
    </w:tbl>
    <w:p/>
    <w:p>
      <w:pPr>
        <w:ind w:firstLine="480"/>
      </w:pPr>
      <w:r>
        <w:rPr/>
        <w:t>表二符合性审查表：</w:t>
      </w:r>
    </w:p>
    <w:p>
      <w:pPr>
        <w:ind w:firstLine="480"/>
      </w:pPr>
    </w:p>
    <w:p/>
    <w:p>
      <w:r>
        <w:rPr/>
        <w:t>采购包1（高分辨全喷墨传感芯片量产成套工艺的产业化项目第二期仪器设备1）：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投标报价是固定唯一价且未超过本项目对应采购包的采购预算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采购包2（高分辨全喷墨传感芯片量产成套工艺的产业化项目第二期仪器设备2）：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投标报价是固定唯一价且未超过本项目对应采购包的采购预算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采购包1(高分辨全喷墨传感芯片量产成套工艺的产业化项目第二期仪器设备1):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(15.0分)</w:t>
            </w:r>
          </w:p>
        </w:tc>
        <w:tc>
          <w:tcPr>
            <w:tcW w:type="dxa" w:w="5076"/>
          </w:tcPr>
          <w:p>
            <w:pPr>
              <w:jc w:val="left"/>
            </w:pPr>
            <w:r>
              <w:rPr/>
              <w:t>1. 重要技术要求响应程度：完全满足或正偏离“技术标准与要求”中的“▲”条款（共2项）的，得10分，每个“▲”条款不满足或未响应扣5分，最低扣至0分。 注：如招标文件中有明确提供的证明资料的，则以招标文件中要求的为准，无或未按要求提供证明材料的不得分；如招标文件中无明确提供的证明资料，投标人须提供投标产品彩页或相应技术参数的厂家技术白皮书或技术参数证明函（加盖制造商公章）等作为技术证明文件，否则评标委员会有权视相应技术参数响应为不满足，不提供或资料不全的均不得分。 2. 一般技术响应程度：一般技术参数条款（“技术标准与要求”中除“★”及“▲”之外的条款）完全满足或正偏离的得5分，共2项， 每有一项不满足要求的扣2.5分，本项目最低得0分。 备注：如采购需求中有要求提供证明资料的，则以采购需求中要求的为准，如采购需求中无明确证明材料的，则以投标人提供的《技术和服务要求响应表》的响应情况进行评审。</w:t>
            </w:r>
          </w:p>
        </w:tc>
      </w:tr>
      <w:tr>
        <w:tc>
          <w:tcPr>
            <w:tcW w:type="dxa" w:w="922"/>
            <w:gridSpan w:val="2"/>
            <w:vMerge/>
          </w:tcPr>
          <w:p/>
        </w:tc>
        <w:tc>
          <w:tcPr>
            <w:tcW w:type="dxa" w:w="2307"/>
          </w:tcPr>
          <w:p>
            <w:pPr>
              <w:jc w:val="left"/>
            </w:pPr>
            <w:r>
              <w:rPr/>
              <w:t>质量保障措施方案1 (3.0分)</w:t>
            </w:r>
          </w:p>
        </w:tc>
        <w:tc>
          <w:tcPr>
            <w:tcW w:type="dxa" w:w="5076"/>
          </w:tcPr>
          <w:p>
            <w:pPr>
              <w:jc w:val="left"/>
            </w:pPr>
            <w:r>
              <w:rPr/>
              <w:t>评标委员会根据投标人提供的质量保障措施方案进行评审，方案应包括以下环节（投标文件中方案标题应以下列方案名称命名）： (1)货物来源； (2)货物质量控制； (3)货物稳定性； 提供全部内容得3分，每缺1项扣1分。</w:t>
            </w:r>
          </w:p>
        </w:tc>
      </w:tr>
      <w:tr>
        <w:tc>
          <w:tcPr>
            <w:tcW w:type="dxa" w:w="922"/>
            <w:gridSpan w:val="2"/>
            <w:vMerge/>
          </w:tcPr>
          <w:p/>
        </w:tc>
        <w:tc>
          <w:tcPr>
            <w:tcW w:type="dxa" w:w="2307"/>
          </w:tcPr>
          <w:p>
            <w:pPr>
              <w:jc w:val="left"/>
            </w:pPr>
            <w:r>
              <w:rPr/>
              <w:t>质量保障措施方案2 (11.0分)</w:t>
            </w:r>
          </w:p>
        </w:tc>
        <w:tc>
          <w:tcPr>
            <w:tcW w:type="dxa" w:w="5076"/>
          </w:tcPr>
          <w:p>
            <w:pPr>
              <w:jc w:val="left"/>
            </w:pPr>
            <w:r>
              <w:rPr/>
              <w:t>评标委员会根据投标人提供的项目质量保障措施方案详细内容进行综合评审： （1）质量保障措施对需求响应全面具体、针对项目全部重点难点全面剖析，能针对全部重点难点提出科学合理、可直接执行的实施方案，有效保障本项目实施，有利于实现服务效果，得11分； （2）质量保障措施对需求响应全面具体，针对部分重点难点进剖析，并提出具备执行条件的针对措施，基本保障本项目服务实施，基本满足服务效果，得7分； （3）质量保障措施对需求响应不全面，只针对少部分重点或难点问题进行解析或没有剖析项目重点难点问题，提出的措施没有针对性或难以施行的，无法保障本项目服务实施或难以服务效果，得3分。 （4）不提供不得分。</w:t>
            </w:r>
          </w:p>
        </w:tc>
      </w:tr>
      <w:tr>
        <w:tc>
          <w:tcPr>
            <w:tcW w:type="dxa" w:w="922"/>
            <w:gridSpan w:val="2"/>
            <w:vMerge/>
          </w:tcPr>
          <w:p/>
        </w:tc>
        <w:tc>
          <w:tcPr>
            <w:tcW w:type="dxa" w:w="2307"/>
          </w:tcPr>
          <w:p>
            <w:pPr>
              <w:jc w:val="left"/>
            </w:pPr>
            <w:r>
              <w:rPr/>
              <w:t>项目实施方案（一） (3.0分)</w:t>
            </w:r>
          </w:p>
        </w:tc>
        <w:tc>
          <w:tcPr>
            <w:tcW w:type="dxa" w:w="5076"/>
          </w:tcPr>
          <w:p>
            <w:pPr>
              <w:jc w:val="left"/>
            </w:pPr>
            <w:r>
              <w:rPr/>
              <w:t>评标委员会根据投标人提供的项目实施方案进行评审，方案应包括（投标文件中方案标题应以下列方案名称命名）： (1)供货时间进度安排； (2)安装调试方案； (3)培训方案； 提供全部内容得3分，每缺1项扣1分。</w:t>
            </w:r>
          </w:p>
        </w:tc>
      </w:tr>
      <w:tr>
        <w:tc>
          <w:tcPr>
            <w:tcW w:type="dxa" w:w="922"/>
            <w:gridSpan w:val="2"/>
            <w:vMerge/>
          </w:tcPr>
          <w:p/>
        </w:tc>
        <w:tc>
          <w:tcPr>
            <w:tcW w:type="dxa" w:w="2307"/>
          </w:tcPr>
          <w:p>
            <w:pPr>
              <w:jc w:val="left"/>
            </w:pPr>
            <w:r>
              <w:rPr/>
              <w:t>项目实施方案（二） (9.0分)</w:t>
            </w:r>
          </w:p>
        </w:tc>
        <w:tc>
          <w:tcPr>
            <w:tcW w:type="dxa" w:w="5076"/>
          </w:tcPr>
          <w:p>
            <w:pPr>
              <w:jc w:val="left"/>
            </w:pPr>
            <w:r>
              <w:rPr/>
              <w:t>评标委员会根据投标人提供的项目实施方案（一）详细内容进行综合评审： （1）项目实施方案对需求响应全面具体，能提出科学合理、可直接执行的实施方案，有效保障本项目实施，有利于实现服务效果，得9分； （2）项目实施方案对需求响应全面，提出具有一定执行性的实施方案，能基本保障本项目服务实施，基本满足服务效果，得6分； （3）项目实施方案对需求响应不全面，提出的方案合理性不足、针对性不强或难以执行的，无法保障本项目服务实施，达不到服务效果，得3分； （4）没提供得0分。</w:t>
            </w:r>
          </w:p>
        </w:tc>
      </w:tr>
      <w:tr>
        <w:tc>
          <w:tcPr>
            <w:tcW w:type="dxa" w:w="922"/>
            <w:gridSpan w:val="2"/>
            <w:vMerge/>
          </w:tcPr>
          <w:p/>
        </w:tc>
        <w:tc>
          <w:tcPr>
            <w:tcW w:type="dxa" w:w="2307"/>
          </w:tcPr>
          <w:p>
            <w:pPr>
              <w:jc w:val="left"/>
            </w:pPr>
            <w:r>
              <w:rPr/>
              <w:t>售后服务方案（一） (5.0分)</w:t>
            </w:r>
          </w:p>
        </w:tc>
        <w:tc>
          <w:tcPr>
            <w:tcW w:type="dxa" w:w="5076"/>
          </w:tcPr>
          <w:p>
            <w:pPr>
              <w:jc w:val="left"/>
            </w:pPr>
            <w:r>
              <w:rPr/>
              <w:t>评标委员会根据投标人提供的售后服务方案进行评审，售后服务方案应包括（投标文件中方案标题应以下列方案名称命名）： (1)售后服务承诺； (2)售后保障措施； (3)维护保养方案； (4)故障解决方案； (5)售后应急措施。 提供全部内容 得5分，每缺1项扣1分。</w:t>
            </w:r>
          </w:p>
        </w:tc>
      </w:tr>
      <w:tr>
        <w:tc>
          <w:tcPr>
            <w:tcW w:type="dxa" w:w="922"/>
            <w:gridSpan w:val="2"/>
            <w:vMerge/>
          </w:tcPr>
          <w:p/>
        </w:tc>
        <w:tc>
          <w:tcPr>
            <w:tcW w:type="dxa" w:w="2307"/>
          </w:tcPr>
          <w:p>
            <w:pPr>
              <w:jc w:val="left"/>
            </w:pPr>
            <w:r>
              <w:rPr/>
              <w:t>售后服务方案（二） (9.0分)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（1）售后服务方案对需求响应全面具体，针对实施难点及关键点全面剖析，提出方案全面具体，配备完善的保障人员和预备人员，方案可直接全面执行的，有效保障本项目实施，有利于实现服务效果，得9分； （2）售后服务方案对需求响应全面，只针对实施的部分难点或部分关键点进行剖析，配备人员基本满足要求，但方案仍具备一定执行性的，基本保障本项目服务实施，基本满足服务效果，得6分； （3）售后服务方案对需求响应不全面，对实施难点重点认识不清晰，人员配备不足，或者方案难以执行的，无法保障本项目服务实施，达不到服务效果，得3分； （4）没提供得0分。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投标人自2020年1月1日至今承接的同类项目（采购包1采购标的：高精密自动涂布机）业绩，每提供一项合同得2分，最高得10分。 注：提供合同关键页（合同关键页包括：合同项目名称、采购标的名称、签订合同双方的落款盖章和合同签订日期）复印件并加盖投标人公章，以合同签订时间为准，不提供不得分。 若投标人的同类项目业绩与采购标的名称不一致但实际使用功能相同的，投标人需对该合同标的其功能属性做出说明。</w:t>
            </w:r>
          </w:p>
        </w:tc>
      </w:tr>
      <w:tr>
        <w:tc>
          <w:tcPr>
            <w:tcW w:type="dxa" w:w="922"/>
            <w:gridSpan w:val="2"/>
            <w:vMerge/>
          </w:tcPr>
          <w:p/>
        </w:tc>
        <w:tc>
          <w:tcPr>
            <w:tcW w:type="dxa" w:w="2307"/>
          </w:tcPr>
          <w:p>
            <w:pPr>
              <w:jc w:val="left"/>
            </w:pPr>
            <w:r>
              <w:rPr/>
              <w:t>管理体系认证 (2.0分)</w:t>
            </w:r>
          </w:p>
        </w:tc>
        <w:tc>
          <w:tcPr>
            <w:tcW w:type="dxa" w:w="5076"/>
          </w:tcPr>
          <w:p>
            <w:pPr>
              <w:jc w:val="left"/>
            </w:pPr>
            <w:r>
              <w:rPr/>
              <w:t>投标人具有有效的质量管理体系认证的得2分。  注：需提供有效期内的证书复印件，没有提供证明材料或专家无法认定的不得分。</w:t>
            </w:r>
          </w:p>
        </w:tc>
      </w:tr>
      <w:tr>
        <w:tc>
          <w:tcPr>
            <w:tcW w:type="dxa" w:w="922"/>
            <w:gridSpan w:val="2"/>
            <w:vMerge/>
          </w:tcPr>
          <w:p/>
        </w:tc>
        <w:tc>
          <w:tcPr>
            <w:tcW w:type="dxa" w:w="2307"/>
          </w:tcPr>
          <w:p>
            <w:pPr>
              <w:jc w:val="left"/>
            </w:pPr>
            <w:r>
              <w:rPr/>
              <w:t>质保期 (3.0分)</w:t>
            </w:r>
          </w:p>
        </w:tc>
        <w:tc>
          <w:tcPr>
            <w:tcW w:type="dxa" w:w="5076"/>
          </w:tcPr>
          <w:p>
            <w:pPr>
              <w:jc w:val="left"/>
            </w:pPr>
            <w:r>
              <w:rPr/>
              <w:t>在招标文件要求的3年质保期基础上每增加6个月得1分，最高得3分。  注：投标时提供加盖投标人公章的承诺函，不提供售后服务承诺书的不得分。质保期增加幅度不足6个月的不计分。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采购包2(高分辨全喷墨传感芯片量产成套工艺的产业化项目第二期仪器设备2):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(32.0分)</w:t>
            </w:r>
          </w:p>
        </w:tc>
        <w:tc>
          <w:tcPr>
            <w:tcW w:type="dxa" w:w="5076"/>
          </w:tcPr>
          <w:p>
            <w:pPr>
              <w:jc w:val="left"/>
            </w:pPr>
            <w:r>
              <w:rPr/>
              <w:t>1. 重要技术要求响应程度：完全满足或正偏离“技术标准与要求”中的“▲”条款（共12项）的，得24分，每个“▲”条款不满足或未响应扣2分，最低扣至0分。 注：如招标文件中有明确提供的证明资料的，则以招标文件中要求的为准，无或未按要求提供证明材料的不得分；如招标文件中无明确提供的证明资料，投标人须提供投标产品彩页或相应技术参数的厂家技术白皮书或技术参数证明函（加盖制造商公章）作为技术证明文件，否则评标委员会有权视相应技术参数响应为不满足，不提供或资料不全的均不得分。 2. 一般技术响应程度：一般技术参数条款（“技术标准与要求”中除“★”及“▲”之外的条款）完全满足或正偏离的8分，采购包2共有4个采购标的，只要有一条（或以上）一般技术参数负偏离或不满足，则对应采购标的一般技术参数整体不得分即扣2分，本项最低得0分。 备注：如采购需求中有要求提供证明资料的，则以采购需求中要求的为准，如采购需求中无明确证明材料的，则以投标人提供的《技术和服务要求响应表》的响应情况进行评审。</w:t>
            </w:r>
          </w:p>
        </w:tc>
      </w:tr>
      <w:tr>
        <w:tc>
          <w:tcPr>
            <w:tcW w:type="dxa" w:w="922"/>
            <w:gridSpan w:val="2"/>
            <w:vMerge/>
          </w:tcPr>
          <w:p/>
        </w:tc>
        <w:tc>
          <w:tcPr>
            <w:tcW w:type="dxa" w:w="2307"/>
          </w:tcPr>
          <w:p>
            <w:pPr>
              <w:jc w:val="left"/>
            </w:pPr>
            <w:r>
              <w:rPr/>
              <w:t>项目实施方案（一） (4.0分)</w:t>
            </w:r>
          </w:p>
        </w:tc>
        <w:tc>
          <w:tcPr>
            <w:tcW w:type="dxa" w:w="5076"/>
          </w:tcPr>
          <w:p>
            <w:pPr>
              <w:jc w:val="left"/>
            </w:pPr>
            <w:r>
              <w:rPr/>
              <w:t>评标委员会根据投标人提供的项目实施方案进行评审，方案应包括（投标文件中方案标题应以下列方案名称命名）： (1)供货时间进度安排； (2)货物质量保障方案； (3)安装调试方案； (4)培训方案； 提供全部内容得4分，每缺1项扣1分。</w:t>
            </w:r>
          </w:p>
        </w:tc>
      </w:tr>
      <w:tr>
        <w:tc>
          <w:tcPr>
            <w:tcW w:type="dxa" w:w="922"/>
            <w:gridSpan w:val="2"/>
            <w:vMerge/>
          </w:tcPr>
          <w:p/>
        </w:tc>
        <w:tc>
          <w:tcPr>
            <w:tcW w:type="dxa" w:w="2307"/>
          </w:tcPr>
          <w:p>
            <w:pPr>
              <w:jc w:val="left"/>
            </w:pPr>
            <w:r>
              <w:rPr/>
              <w:t>项目实施方案（二） (9.0分)</w:t>
            </w:r>
          </w:p>
        </w:tc>
        <w:tc>
          <w:tcPr>
            <w:tcW w:type="dxa" w:w="5076"/>
          </w:tcPr>
          <w:p>
            <w:pPr>
              <w:jc w:val="left"/>
            </w:pPr>
            <w:r>
              <w:rPr/>
              <w:t>评标委员会根据投标人提供的项目实施方案（一）详细内容进行综合评审： （1）项目实施方案对需求响应全面具体，能提出科学合理、可直接执行的实施方案，有效保障本项目实施，有利于实现服务效果，得9分； （2）项目实施方案对需求响应全面，提出具有一定执行性的实施方案，能基本保障本项目服务实施，基本满足服务效果，得6分； （3）项目实施方案对需求响应不全面，提出的方案合理性不足、针对性不强或难以执行的，无法保障本项目服务实施，达不到服务效果，得3分； （4）没提供得0分。</w:t>
            </w:r>
          </w:p>
        </w:tc>
      </w:tr>
      <w:tr>
        <w:tc>
          <w:tcPr>
            <w:tcW w:type="dxa" w:w="922"/>
            <w:gridSpan w:val="2"/>
            <w:vMerge/>
          </w:tcPr>
          <w:p/>
        </w:tc>
        <w:tc>
          <w:tcPr>
            <w:tcW w:type="dxa" w:w="2307"/>
          </w:tcPr>
          <w:p>
            <w:pPr>
              <w:jc w:val="left"/>
            </w:pPr>
            <w:r>
              <w:rPr/>
              <w:t>售后服务方案（一） (5.0分)</w:t>
            </w:r>
          </w:p>
        </w:tc>
        <w:tc>
          <w:tcPr>
            <w:tcW w:type="dxa" w:w="5076"/>
          </w:tcPr>
          <w:p>
            <w:pPr>
              <w:jc w:val="left"/>
            </w:pPr>
            <w:r>
              <w:rPr/>
              <w:t>评标委员会根据投标人提供的售后服务方案进行评审，售后服务方案应包括（投标文件中方案标题应以下列方案名称命名）： (1)售后服务承诺； (2)售后保障措施； (3)维护保养方案； (4)故障解决方案 (5)售后应急措施。 提供全部内容 得5分，每缺1项扣1分。</w:t>
            </w:r>
          </w:p>
        </w:tc>
      </w:tr>
      <w:tr>
        <w:tc>
          <w:tcPr>
            <w:tcW w:type="dxa" w:w="922"/>
            <w:gridSpan w:val="2"/>
            <w:vMerge/>
          </w:tcPr>
          <w:p/>
        </w:tc>
        <w:tc>
          <w:tcPr>
            <w:tcW w:type="dxa" w:w="2307"/>
          </w:tcPr>
          <w:p>
            <w:pPr>
              <w:jc w:val="left"/>
            </w:pPr>
            <w:r>
              <w:rPr/>
              <w:t>售后服务方案（二） (5.0分)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（1）售后服务方案对需求响应全面具体，针对实施难点及关键点全面剖析，提出方案全面具体，配备完善的保障人员和预备人员，方案可直接全面执行的，有效保障本项目实施，有利于实现服务效果，得5分； （2）售后服务方案对需求响应全面，只针对实施的部分难点或部分关键点进行剖析，配备人员基本满足要求，但方案仍具备一定执行性的，基本保障本项目服务实施，基本满足服务效果，得3分； （3）售后服务方案对需求响应不全面，对实施难点重点认识不清晰，人员配备不足，或者方案难以执行的，无法保障本项目服务实施，达不到服务效果，得1分； （4）没提供得0分。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投标人自2020年1月1日至今承接的同类项目（同类项目指的是满足采购包2：真空紫外光刻机、旋转流变仪、纳米粒度仪及Zeta电位分析仪、高压均质机的任意一个标的即可）业绩，每提供一项合同得2分，最高得10分。 注：提供合同关键页（合同关键页包括：合同项目名称、采购标的名称、签订合同双方的落款盖章和合同签订日期）复印件并加盖投标人公章，以合同签订时间为准，不提供不得分。 若投标人的同类项目业绩与采购标的名称不一致但实际使用功能相同的，投标人需对该合同标的其功能属性做出说明。</w:t>
            </w:r>
          </w:p>
        </w:tc>
      </w:tr>
      <w:tr>
        <w:tc>
          <w:tcPr>
            <w:tcW w:type="dxa" w:w="922"/>
            <w:gridSpan w:val="2"/>
            <w:vMerge/>
          </w:tcPr>
          <w:p/>
        </w:tc>
        <w:tc>
          <w:tcPr>
            <w:tcW w:type="dxa" w:w="2307"/>
          </w:tcPr>
          <w:p>
            <w:pPr>
              <w:jc w:val="left"/>
            </w:pPr>
            <w:r>
              <w:rPr/>
              <w:t>管理体系认证 (2.0分)</w:t>
            </w:r>
          </w:p>
        </w:tc>
        <w:tc>
          <w:tcPr>
            <w:tcW w:type="dxa" w:w="5076"/>
          </w:tcPr>
          <w:p>
            <w:pPr>
              <w:jc w:val="left"/>
            </w:pPr>
            <w:r>
              <w:rPr/>
              <w:t>投标人具有有效的质量管理体系认证的得2分。  注：需提供有效期内的证书复印件，没有提供证明材料或专家无法认定的不得分。</w:t>
            </w:r>
          </w:p>
        </w:tc>
      </w:tr>
      <w:tr>
        <w:tc>
          <w:tcPr>
            <w:tcW w:type="dxa" w:w="922"/>
            <w:gridSpan w:val="2"/>
            <w:vMerge/>
          </w:tcPr>
          <w:p/>
        </w:tc>
        <w:tc>
          <w:tcPr>
            <w:tcW w:type="dxa" w:w="2307"/>
          </w:tcPr>
          <w:p>
            <w:pPr>
              <w:jc w:val="left"/>
            </w:pPr>
            <w:r>
              <w:rPr/>
              <w:t>质保期 (3.0分)</w:t>
            </w:r>
          </w:p>
        </w:tc>
        <w:tc>
          <w:tcPr>
            <w:tcW w:type="dxa" w:w="5076"/>
          </w:tcPr>
          <w:p>
            <w:pPr>
              <w:jc w:val="left"/>
            </w:pPr>
            <w:r>
              <w:rPr/>
              <w:t>在招标文件要求的3年质保期基础上每增加6个月得1分，最高得3分。  注：投标时提供加盖投标人公章的承诺函，不提供售后服务承诺书的不得分。质保期增加幅度不足6个月的不计分。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1、合同具体事项须根据采购文件的约定及投标人投标（响应）文件的承诺执行；</w:t>
      </w:r>
    </w:p>
    <w:p>
      <w:pPr>
        <w:jc w:val="left"/>
      </w:pPr>
    </w:p>
    <w:p>
      <w:pPr>
        <w:ind w:firstLine="420"/>
        <w:jc w:val="both"/>
      </w:pPr>
    </w:p>
    <w:p>
      <w:pPr>
        <w:jc w:val="left"/>
      </w:pPr>
    </w:p>
    <w:p/>
    <w:p/>
    <w:p>
      <w:r>
        <w:rPr/>
        <w:t xml:space="preserve"> </w:t>
      </w:r>
    </w:p>
    <w:p>
      <w:pPr>
        <w:jc w:val="center"/>
      </w:pPr>
      <w:r>
        <w:rPr>
          <w:sz w:val="48"/>
        </w:rPr>
        <w:t>广东省政府采购项目</w:t>
      </w:r>
    </w:p>
    <w:p>
      <w:pPr>
        <w:jc w:val="both"/>
      </w:pPr>
    </w:p>
    <w:p>
      <w:pPr>
        <w:jc w:val="both"/>
      </w:pPr>
    </w:p>
    <w:p>
      <w:pPr>
        <w:jc w:val="both"/>
      </w:pPr>
    </w:p>
    <w:p>
      <w:pPr>
        <w:jc w:val="center"/>
      </w:pPr>
      <w:r>
        <w:rPr>
          <w:b/>
          <w:sz w:val="68"/>
        </w:rPr>
        <w:t>合</w:t>
      </w:r>
      <w:r>
        <w:rPr>
          <w:b/>
          <w:sz w:val="68"/>
        </w:rPr>
        <w:t xml:space="preserve"> </w:t>
      </w:r>
      <w:r>
        <w:rPr>
          <w:b/>
          <w:sz w:val="68"/>
        </w:rPr>
        <w:t>同</w:t>
      </w:r>
      <w:r>
        <w:rPr>
          <w:b/>
          <w:sz w:val="68"/>
        </w:rPr>
        <w:t xml:space="preserve"> </w:t>
      </w:r>
      <w:r>
        <w:rPr>
          <w:b/>
          <w:sz w:val="68"/>
        </w:rPr>
        <w:t>书</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2683"/>
        <w:gridCol w:w="5623"/>
      </w:tblGrid>
      <w:tr>
        <w:tc>
          <w:tcPr>
            <w:tcW w:type="dxa" w:w="2683"/>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5623"/>
            <w:tcBorders>
              <w:top w:val="none" w:color="000000" w:sz="4"/>
              <w:left w:val="none" w:color="000000" w:sz="4"/>
              <w:bottom w:val="none" w:color="000000" w:sz="4"/>
              <w:right w:val="none" w:color="000000" w:sz="4"/>
            </w:tcBorders>
            <w:vAlign w:val="top"/>
          </w:tcPr>
          <w:p>
            <w:pPr>
              <w:jc w:val="both"/>
            </w:pPr>
            <w:r>
              <w:rPr>
                <w:sz w:val="21"/>
              </w:rPr>
              <w:t>GZGK23D262A0827Z</w:t>
            </w:r>
          </w:p>
        </w:tc>
      </w:tr>
      <w:tr>
        <w:tc>
          <w:tcPr>
            <w:tcW w:type="dxa" w:w="2683"/>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5623"/>
            <w:tcBorders>
              <w:top w:val="none" w:color="000000" w:sz="4"/>
              <w:left w:val="none" w:color="000000" w:sz="4"/>
              <w:bottom w:val="none" w:color="000000" w:sz="4"/>
              <w:right w:val="none" w:color="000000" w:sz="4"/>
            </w:tcBorders>
            <w:vAlign w:val="top"/>
          </w:tcPr>
          <w:p>
            <w:pPr>
              <w:jc w:val="both"/>
            </w:pPr>
          </w:p>
        </w:tc>
      </w:tr>
      <w:tr>
        <w:tc>
          <w:tcPr>
            <w:tcW w:type="dxa" w:w="2683"/>
            <w:tcBorders>
              <w:top w:val="none" w:color="000000" w:sz="4"/>
              <w:left w:val="none" w:color="000000" w:sz="4"/>
              <w:bottom w:val="none" w:color="000000" w:sz="4"/>
              <w:right w:val="none" w:color="000000" w:sz="4"/>
            </w:tcBorders>
            <w:vAlign w:val="top"/>
          </w:tcPr>
          <w:p>
            <w:pPr>
              <w:jc w:val="both"/>
            </w:pPr>
            <w:r>
              <w:rPr>
                <w:b/>
                <w:sz w:val="21"/>
              </w:rPr>
              <w:t>子包号：</w:t>
            </w:r>
          </w:p>
        </w:tc>
        <w:tc>
          <w:tcPr>
            <w:tcW w:type="dxa" w:w="5623"/>
            <w:tcBorders>
              <w:top w:val="none" w:color="000000" w:sz="4"/>
              <w:left w:val="none" w:color="000000" w:sz="4"/>
              <w:bottom w:val="none" w:color="000000" w:sz="4"/>
              <w:right w:val="none" w:color="000000" w:sz="4"/>
            </w:tcBorders>
            <w:vAlign w:val="top"/>
          </w:tcPr>
          <w:p>
            <w:pPr>
              <w:jc w:val="both"/>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vAlign w:val="top"/>
          </w:tcPr>
          <w:p>
            <w:pPr>
              <w:jc w:val="both"/>
            </w:pPr>
            <w:r>
              <w:rPr>
                <w:b/>
                <w:sz w:val="21"/>
              </w:rPr>
              <w:t>甲方：</w:t>
            </w:r>
            <w:r>
              <w:rPr>
                <w:b/>
                <w:sz w:val="21"/>
                <w:u w:val="single"/>
              </w:rPr>
              <w:t>佛山中科产业技术研究院</w:t>
            </w:r>
          </w:p>
        </w:tc>
      </w:tr>
      <w:tr>
        <w:tc>
          <w:tcPr>
            <w:tcW w:type="dxa" w:w="8306"/>
            <w:tcBorders>
              <w:top w:val="none" w:color="000000" w:sz="4"/>
              <w:left w:val="none" w:color="000000" w:sz="4"/>
              <w:bottom w:val="none" w:color="000000" w:sz="4"/>
              <w:right w:val="none" w:color="000000" w:sz="4"/>
            </w:tcBorders>
            <w:vAlign w:val="top"/>
          </w:tcPr>
          <w:p>
            <w:pPr>
              <w:jc w:val="both"/>
            </w:pPr>
            <w:r>
              <w:rPr>
                <w:b/>
                <w:color w:val="000000"/>
                <w:sz w:val="21"/>
              </w:rPr>
              <w:t>乙方：</w:t>
            </w:r>
            <w:r>
              <w:rPr>
                <w:b/>
                <w:color w:val="000000"/>
                <w:sz w:val="21"/>
                <w:u w:val="single"/>
              </w:rPr>
              <w:t xml:space="preserve"> </w:t>
            </w:r>
            <w:r>
              <w:rPr>
                <w:b/>
                <w:color w:val="000000"/>
                <w:sz w:val="21"/>
                <w:u w:val="single"/>
              </w:rPr>
              <w:t>（中标人）</w:t>
            </w:r>
          </w:p>
        </w:tc>
      </w:tr>
      <w:tr>
        <w:tc>
          <w:tcPr>
            <w:tcW w:type="dxa" w:w="8306"/>
            <w:tcBorders>
              <w:top w:val="none" w:color="000000" w:sz="4"/>
              <w:left w:val="none" w:color="000000" w:sz="4"/>
              <w:bottom w:val="none" w:color="000000" w:sz="4"/>
              <w:right w:val="none" w:color="000000" w:sz="4"/>
            </w:tcBorders>
            <w:vAlign w:val="top"/>
          </w:tcPr>
          <w:p>
            <w:pPr>
              <w:jc w:val="center"/>
            </w:pPr>
            <w:r>
              <w:rPr>
                <w:b/>
                <w:color w:val="000000"/>
                <w:sz w:val="21"/>
              </w:rPr>
              <w:t>签订日期：年月</w:t>
            </w:r>
          </w:p>
        </w:tc>
      </w:tr>
    </w:tbl>
    <w:p>
      <w:pPr>
        <w:jc w:val="both"/>
      </w:pPr>
    </w:p>
    <w:p>
      <w:pPr>
        <w:jc w:val="both"/>
      </w:pPr>
    </w:p>
    <w:p/>
    <w:p/>
    <w:p>
      <w:r>
        <w:rPr/>
        <w:t xml:space="preserve"> </w:t>
      </w:r>
    </w:p>
    <w:p>
      <w:pPr>
        <w:jc w:val="both"/>
      </w:pPr>
      <w:r>
        <w:rPr>
          <w:b/>
          <w:color w:val="000000"/>
          <w:sz w:val="21"/>
        </w:rPr>
        <w:t>甲方：</w:t>
      </w:r>
      <w:r>
        <w:rPr>
          <w:b/>
          <w:color w:val="000000"/>
          <w:sz w:val="21"/>
          <w:u w:val="single"/>
        </w:rPr>
        <w:t>佛山中科产业技术研究院</w:t>
      </w:r>
    </w:p>
    <w:p>
      <w:pPr>
        <w:jc w:val="both"/>
      </w:pPr>
      <w:r>
        <w:rPr>
          <w:b/>
          <w:color w:val="000000"/>
          <w:sz w:val="21"/>
        </w:rPr>
        <w:t>乙方：</w:t>
      </w:r>
      <w:r>
        <w:rPr>
          <w:b/>
          <w:color w:val="000000"/>
          <w:sz w:val="21"/>
          <w:u w:val="single"/>
        </w:rPr>
        <w:t xml:space="preserve"> </w:t>
      </w:r>
      <w:r>
        <w:rPr>
          <w:b/>
          <w:color w:val="000000"/>
          <w:sz w:val="21"/>
          <w:u w:val="single"/>
        </w:rPr>
        <w:t>（中标人）</w:t>
      </w:r>
    </w:p>
    <w:p>
      <w:pPr>
        <w:jc w:val="both"/>
      </w:pPr>
      <w:r>
        <w:rPr>
          <w:b/>
          <w:color w:val="000000"/>
          <w:sz w:val="21"/>
        </w:rPr>
        <w:t>合同见证方：广州市国科招标代理有限公司</w:t>
      </w:r>
    </w:p>
    <w:p>
      <w:pPr>
        <w:ind w:firstLine="420"/>
        <w:jc w:val="both"/>
      </w:pPr>
    </w:p>
    <w:p>
      <w:pPr>
        <w:ind w:firstLine="420"/>
        <w:jc w:val="both"/>
      </w:pPr>
      <w:r>
        <w:rPr>
          <w:sz w:val="21"/>
        </w:rPr>
        <w:t>根据</w:t>
      </w:r>
      <w:r>
        <w:rPr>
          <w:sz w:val="21"/>
          <w:u w:val="single"/>
        </w:rPr>
        <w:t xml:space="preserve">                        </w:t>
      </w:r>
      <w:r>
        <w:rPr>
          <w:sz w:val="21"/>
          <w:u w:val="single"/>
        </w:rPr>
        <w:t>项目（采购包：</w:t>
      </w:r>
      <w:r>
        <w:rPr>
          <w:sz w:val="21"/>
          <w:u w:val="single"/>
        </w:rPr>
        <w:t xml:space="preserve"> </w:t>
      </w:r>
      <w:r>
        <w:rPr>
          <w:sz w:val="21"/>
          <w:u w:val="single"/>
        </w:rPr>
        <w:t>）</w:t>
      </w:r>
      <w:r>
        <w:rPr>
          <w:sz w:val="21"/>
        </w:rPr>
        <w:t>的采购结果，按照《中华人民共和国政府采购法》、《中华人民共和国民法典》、招标文件的要求，</w:t>
      </w:r>
      <w:r>
        <w:rPr>
          <w:sz w:val="21"/>
        </w:rPr>
        <w:t>经双方协商，</w:t>
      </w:r>
      <w:r>
        <w:rPr>
          <w:sz w:val="21"/>
        </w:rPr>
        <w:t>本着平等互利和诚实信用的原则，</w:t>
      </w:r>
      <w:r>
        <w:rPr>
          <w:sz w:val="21"/>
        </w:rPr>
        <w:t>一致同意签订本合同如下。</w:t>
      </w:r>
    </w:p>
    <w:p>
      <w:pPr>
        <w:jc w:val="both"/>
      </w:pPr>
      <w:r>
        <w:rPr>
          <w:b/>
          <w:sz w:val="21"/>
        </w:rPr>
        <w:t>一、</w:t>
      </w:r>
      <w:r>
        <w:rPr>
          <w:b/>
          <w:sz w:val="21"/>
        </w:rPr>
        <w:t>项目名称及编号</w:t>
      </w:r>
    </w:p>
    <w:p>
      <w:pPr>
        <w:jc w:val="left"/>
      </w:pPr>
      <w:r>
        <w:rPr>
          <w:sz w:val="24"/>
        </w:rPr>
        <w:t>(一)</w:t>
      </w:r>
      <w:r>
        <w:rPr>
          <w:sz w:val="21"/>
        </w:rPr>
        <w:t>项目名称：</w:t>
      </w:r>
      <w:r>
        <w:rPr>
          <w:sz w:val="21"/>
        </w:rPr>
        <w:t xml:space="preserve">                        </w:t>
      </w:r>
    </w:p>
    <w:p>
      <w:pPr>
        <w:jc w:val="left"/>
      </w:pPr>
      <w:r>
        <w:rPr>
          <w:sz w:val="24"/>
        </w:rPr>
        <w:t>(二)</w:t>
      </w:r>
      <w:r>
        <w:rPr>
          <w:sz w:val="21"/>
        </w:rPr>
        <w:t>项目编号：</w:t>
      </w:r>
      <w:r>
        <w:rPr>
          <w:sz w:val="21"/>
        </w:rPr>
        <w:t xml:space="preserve">                        </w:t>
      </w:r>
    </w:p>
    <w:p>
      <w:pPr>
        <w:jc w:val="both"/>
      </w:pPr>
      <w:r>
        <w:rPr>
          <w:b/>
          <w:sz w:val="21"/>
        </w:rPr>
        <w:t>二、</w:t>
      </w:r>
      <w:r>
        <w:rPr>
          <w:b/>
          <w:sz w:val="21"/>
        </w:rPr>
        <w:t>货物清单</w:t>
      </w:r>
    </w:p>
    <w:tbl>
      <w:tblPr>
        <w:tblW w:w="0" w:type="auto"/>
        <w:tblBorders>
          <w:top w:val="none" w:color="000000" w:sz="4"/>
          <w:left w:val="none" w:color="000000" w:sz="4"/>
          <w:bottom w:val="none" w:color="000000" w:sz="4"/>
          <w:right w:val="none" w:color="000000" w:sz="4"/>
          <w:insideH w:val="none"/>
          <w:insideV w:val="none"/>
        </w:tblBorders>
      </w:tblPr>
      <w:tblGrid>
        <w:gridCol w:w="497"/>
        <w:gridCol w:w="1496"/>
        <w:gridCol w:w="1828"/>
        <w:gridCol w:w="663"/>
        <w:gridCol w:w="663"/>
        <w:gridCol w:w="995"/>
        <w:gridCol w:w="1496"/>
        <w:gridCol w:w="663"/>
      </w:tblGrid>
      <w:tr>
        <w:tc>
          <w:tcPr>
            <w:tcW w:type="dxa" w:w="497"/>
            <w:tcBorders>
              <w:top w:val="single" w:color="000000" w:sz="4"/>
              <w:left w:val="single" w:color="000000" w:sz="4"/>
              <w:bottom w:val="single" w:color="000000" w:sz="4"/>
              <w:right w:val="single" w:color="000000" w:sz="4"/>
            </w:tcBorders>
            <w:shd w:fill="F3F3F3"/>
            <w:vAlign w:val="top"/>
          </w:tcPr>
          <w:p>
            <w:pPr>
              <w:jc w:val="center"/>
            </w:pPr>
            <w:r>
              <w:rPr>
                <w:b/>
                <w:sz w:val="21"/>
              </w:rPr>
              <w:t>序号</w:t>
            </w:r>
          </w:p>
        </w:tc>
        <w:tc>
          <w:tcPr>
            <w:tcW w:type="dxa" w:w="1496"/>
            <w:tcBorders>
              <w:top w:val="single" w:color="000000" w:sz="4"/>
              <w:left w:val="single" w:color="000000" w:sz="4"/>
              <w:bottom w:val="single" w:color="000000" w:sz="4"/>
              <w:right w:val="single" w:color="000000" w:sz="4"/>
            </w:tcBorders>
            <w:shd w:fill="F3F3F3"/>
            <w:vAlign w:val="top"/>
          </w:tcPr>
          <w:p>
            <w:pPr>
              <w:jc w:val="center"/>
            </w:pPr>
            <w:r>
              <w:rPr>
                <w:b/>
                <w:sz w:val="21"/>
              </w:rPr>
              <w:t>名</w:t>
            </w:r>
            <w:r>
              <w:rPr>
                <w:b/>
                <w:sz w:val="21"/>
              </w:rPr>
              <w:t xml:space="preserve">   </w:t>
            </w:r>
            <w:r>
              <w:rPr>
                <w:b/>
                <w:sz w:val="21"/>
              </w:rPr>
              <w:t>称</w:t>
            </w:r>
          </w:p>
        </w:tc>
        <w:tc>
          <w:tcPr>
            <w:tcW w:type="dxa" w:w="1828"/>
            <w:tcBorders>
              <w:top w:val="single" w:color="000000" w:sz="4"/>
              <w:left w:val="single" w:color="000000" w:sz="4"/>
              <w:bottom w:val="single" w:color="000000" w:sz="4"/>
              <w:right w:val="single" w:color="000000" w:sz="4"/>
            </w:tcBorders>
            <w:shd w:fill="F3F3F3"/>
            <w:vAlign w:val="top"/>
          </w:tcPr>
          <w:p>
            <w:pPr>
              <w:jc w:val="center"/>
            </w:pPr>
            <w:r>
              <w:rPr>
                <w:b/>
                <w:sz w:val="21"/>
              </w:rPr>
              <w:t>品牌、型号规格</w:t>
            </w:r>
          </w:p>
        </w:tc>
        <w:tc>
          <w:tcPr>
            <w:tcW w:type="dxa" w:w="663"/>
            <w:tcBorders>
              <w:top w:val="single" w:color="000000" w:sz="4"/>
              <w:left w:val="single" w:color="000000" w:sz="4"/>
              <w:bottom w:val="single" w:color="000000" w:sz="4"/>
              <w:right w:val="single" w:color="000000" w:sz="4"/>
            </w:tcBorders>
            <w:shd w:fill="F3F3F3"/>
            <w:vAlign w:val="top"/>
          </w:tcPr>
          <w:p>
            <w:pPr>
              <w:jc w:val="center"/>
            </w:pPr>
            <w:r>
              <w:rPr>
                <w:b/>
                <w:sz w:val="21"/>
              </w:rPr>
              <w:t>产地</w:t>
            </w:r>
          </w:p>
        </w:tc>
        <w:tc>
          <w:tcPr>
            <w:tcW w:type="dxa" w:w="663"/>
            <w:tcBorders>
              <w:top w:val="single" w:color="000000" w:sz="4"/>
              <w:left w:val="single" w:color="000000" w:sz="4"/>
              <w:bottom w:val="single" w:color="000000" w:sz="4"/>
              <w:right w:val="single" w:color="000000" w:sz="4"/>
            </w:tcBorders>
            <w:shd w:fill="F3F3F3"/>
            <w:vAlign w:val="top"/>
          </w:tcPr>
          <w:p>
            <w:pPr>
              <w:jc w:val="center"/>
            </w:pPr>
            <w:r>
              <w:rPr>
                <w:b/>
                <w:sz w:val="21"/>
              </w:rPr>
              <w:t>数量</w:t>
            </w:r>
          </w:p>
        </w:tc>
        <w:tc>
          <w:tcPr>
            <w:tcW w:type="dxa" w:w="995"/>
            <w:tcBorders>
              <w:top w:val="single" w:color="000000" w:sz="4"/>
              <w:left w:val="single" w:color="000000" w:sz="4"/>
              <w:bottom w:val="single" w:color="000000" w:sz="4"/>
              <w:right w:val="single" w:color="000000" w:sz="4"/>
            </w:tcBorders>
            <w:shd w:fill="F3F3F3"/>
            <w:vAlign w:val="top"/>
          </w:tcPr>
          <w:p>
            <w:pPr>
              <w:jc w:val="center"/>
            </w:pPr>
            <w:r>
              <w:rPr>
                <w:b/>
                <w:sz w:val="21"/>
              </w:rPr>
              <w:t>单价</w:t>
            </w:r>
          </w:p>
        </w:tc>
        <w:tc>
          <w:tcPr>
            <w:tcW w:type="dxa" w:w="1496"/>
            <w:tcBorders>
              <w:top w:val="single" w:color="000000" w:sz="4"/>
              <w:left w:val="single" w:color="000000" w:sz="4"/>
              <w:bottom w:val="single" w:color="000000" w:sz="4"/>
              <w:right w:val="single" w:color="000000" w:sz="4"/>
            </w:tcBorders>
            <w:shd w:fill="F3F3F3"/>
            <w:vAlign w:val="top"/>
          </w:tcPr>
          <w:p>
            <w:pPr>
              <w:jc w:val="center"/>
            </w:pPr>
            <w:r>
              <w:rPr>
                <w:b/>
                <w:sz w:val="21"/>
              </w:rPr>
              <w:t>合计（元）</w:t>
            </w:r>
          </w:p>
        </w:tc>
        <w:tc>
          <w:tcPr>
            <w:tcW w:type="dxa" w:w="663"/>
            <w:tcBorders>
              <w:top w:val="single" w:color="000000" w:sz="4"/>
              <w:left w:val="single" w:color="000000" w:sz="4"/>
              <w:bottom w:val="single" w:color="000000" w:sz="4"/>
              <w:right w:val="single" w:color="000000" w:sz="4"/>
            </w:tcBorders>
            <w:shd w:fill="F3F3F3"/>
            <w:vAlign w:val="top"/>
          </w:tcPr>
          <w:p>
            <w:pPr>
              <w:jc w:val="center"/>
            </w:pPr>
            <w:r>
              <w:rPr>
                <w:b/>
                <w:sz w:val="21"/>
              </w:rPr>
              <w:t>备注</w:t>
            </w:r>
          </w:p>
        </w:tc>
      </w:tr>
      <w:tr>
        <w:tc>
          <w:tcPr>
            <w:tcW w:type="dxa" w:w="497"/>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1496"/>
            <w:tcBorders>
              <w:top w:val="single" w:color="000000" w:sz="4"/>
              <w:left w:val="single" w:color="000000" w:sz="4"/>
              <w:bottom w:val="single" w:color="000000" w:sz="4"/>
              <w:right w:val="single" w:color="000000" w:sz="4"/>
            </w:tcBorders>
            <w:vAlign w:val="top"/>
          </w:tcPr>
          <w:p>
            <w:pPr>
              <w:jc w:val="center"/>
            </w:pPr>
          </w:p>
        </w:tc>
        <w:tc>
          <w:tcPr>
            <w:tcW w:type="dxa" w:w="1828"/>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c>
          <w:tcPr>
            <w:tcW w:type="dxa" w:w="995"/>
            <w:tcBorders>
              <w:top w:val="single" w:color="000000" w:sz="4"/>
              <w:left w:val="single" w:color="000000" w:sz="4"/>
              <w:bottom w:val="single" w:color="000000" w:sz="4"/>
              <w:right w:val="single" w:color="000000" w:sz="4"/>
            </w:tcBorders>
            <w:vAlign w:val="top"/>
          </w:tcPr>
          <w:p>
            <w:pPr>
              <w:jc w:val="center"/>
            </w:pPr>
          </w:p>
        </w:tc>
        <w:tc>
          <w:tcPr>
            <w:tcW w:type="dxa" w:w="1496"/>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r>
      <w:tr>
        <w:tc>
          <w:tcPr>
            <w:tcW w:type="dxa" w:w="497"/>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1496"/>
            <w:tcBorders>
              <w:top w:val="single" w:color="000000" w:sz="4"/>
              <w:left w:val="single" w:color="000000" w:sz="4"/>
              <w:bottom w:val="single" w:color="000000" w:sz="4"/>
              <w:right w:val="single" w:color="000000" w:sz="4"/>
            </w:tcBorders>
            <w:vAlign w:val="top"/>
          </w:tcPr>
          <w:p>
            <w:pPr>
              <w:jc w:val="center"/>
            </w:pPr>
          </w:p>
        </w:tc>
        <w:tc>
          <w:tcPr>
            <w:tcW w:type="dxa" w:w="1828"/>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c>
          <w:tcPr>
            <w:tcW w:type="dxa" w:w="995"/>
            <w:tcBorders>
              <w:top w:val="single" w:color="000000" w:sz="4"/>
              <w:left w:val="single" w:color="000000" w:sz="4"/>
              <w:bottom w:val="single" w:color="000000" w:sz="4"/>
              <w:right w:val="single" w:color="000000" w:sz="4"/>
            </w:tcBorders>
            <w:vAlign w:val="top"/>
          </w:tcPr>
          <w:p>
            <w:pPr>
              <w:jc w:val="center"/>
            </w:pPr>
          </w:p>
        </w:tc>
        <w:tc>
          <w:tcPr>
            <w:tcW w:type="dxa" w:w="1496"/>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r>
      <w:tr>
        <w:tc>
          <w:tcPr>
            <w:tcW w:type="dxa" w:w="497"/>
            <w:tcBorders>
              <w:top w:val="single" w:color="000000" w:sz="4"/>
              <w:left w:val="single" w:color="000000" w:sz="4"/>
              <w:bottom w:val="single" w:color="000000" w:sz="4"/>
              <w:right w:val="single" w:color="000000" w:sz="4"/>
            </w:tcBorders>
            <w:vAlign w:val="top"/>
          </w:tcPr>
          <w:p>
            <w:pPr>
              <w:jc w:val="center"/>
            </w:pPr>
            <w:r>
              <w:rPr>
                <w:sz w:val="21"/>
              </w:rPr>
              <w:t>3</w:t>
            </w:r>
          </w:p>
        </w:tc>
        <w:tc>
          <w:tcPr>
            <w:tcW w:type="dxa" w:w="1496"/>
            <w:tcBorders>
              <w:top w:val="single" w:color="000000" w:sz="4"/>
              <w:left w:val="single" w:color="000000" w:sz="4"/>
              <w:bottom w:val="single" w:color="000000" w:sz="4"/>
              <w:right w:val="single" w:color="000000" w:sz="4"/>
            </w:tcBorders>
            <w:vAlign w:val="top"/>
          </w:tcPr>
          <w:p>
            <w:pPr>
              <w:jc w:val="center"/>
            </w:pPr>
          </w:p>
        </w:tc>
        <w:tc>
          <w:tcPr>
            <w:tcW w:type="dxa" w:w="1828"/>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c>
          <w:tcPr>
            <w:tcW w:type="dxa" w:w="995"/>
            <w:tcBorders>
              <w:top w:val="single" w:color="000000" w:sz="4"/>
              <w:left w:val="single" w:color="000000" w:sz="4"/>
              <w:bottom w:val="single" w:color="000000" w:sz="4"/>
              <w:right w:val="single" w:color="000000" w:sz="4"/>
            </w:tcBorders>
            <w:vAlign w:val="top"/>
          </w:tcPr>
          <w:p>
            <w:pPr>
              <w:jc w:val="center"/>
            </w:pPr>
          </w:p>
        </w:tc>
        <w:tc>
          <w:tcPr>
            <w:tcW w:type="dxa" w:w="1496"/>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r>
      <w:tr>
        <w:tc>
          <w:tcPr>
            <w:tcW w:type="dxa" w:w="497"/>
            <w:tcBorders>
              <w:top w:val="single" w:color="000000" w:sz="4"/>
              <w:left w:val="single" w:color="000000" w:sz="4"/>
              <w:bottom w:val="single" w:color="000000" w:sz="4"/>
              <w:right w:val="single" w:color="000000" w:sz="4"/>
            </w:tcBorders>
            <w:vAlign w:val="top"/>
          </w:tcPr>
          <w:p>
            <w:pPr>
              <w:jc w:val="center"/>
            </w:pPr>
            <w:r>
              <w:rPr>
                <w:sz w:val="21"/>
              </w:rPr>
              <w:t>…</w:t>
            </w:r>
          </w:p>
        </w:tc>
        <w:tc>
          <w:tcPr>
            <w:tcW w:type="dxa" w:w="1496"/>
            <w:tcBorders>
              <w:top w:val="single" w:color="000000" w:sz="4"/>
              <w:left w:val="single" w:color="000000" w:sz="4"/>
              <w:bottom w:val="single" w:color="000000" w:sz="4"/>
              <w:right w:val="single" w:color="000000" w:sz="4"/>
            </w:tcBorders>
            <w:vAlign w:val="top"/>
          </w:tcPr>
          <w:p>
            <w:pPr>
              <w:jc w:val="center"/>
            </w:pPr>
          </w:p>
        </w:tc>
        <w:tc>
          <w:tcPr>
            <w:tcW w:type="dxa" w:w="1828"/>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c>
          <w:tcPr>
            <w:tcW w:type="dxa" w:w="995"/>
            <w:tcBorders>
              <w:top w:val="single" w:color="000000" w:sz="4"/>
              <w:left w:val="single" w:color="000000" w:sz="4"/>
              <w:bottom w:val="single" w:color="000000" w:sz="4"/>
              <w:right w:val="single" w:color="000000" w:sz="4"/>
            </w:tcBorders>
            <w:vAlign w:val="top"/>
          </w:tcPr>
          <w:p>
            <w:pPr>
              <w:jc w:val="center"/>
            </w:pPr>
          </w:p>
        </w:tc>
        <w:tc>
          <w:tcPr>
            <w:tcW w:type="dxa" w:w="1496"/>
            <w:tcBorders>
              <w:top w:val="single" w:color="000000" w:sz="4"/>
              <w:left w:val="single" w:color="000000" w:sz="4"/>
              <w:bottom w:val="single" w:color="000000" w:sz="4"/>
              <w:right w:val="single" w:color="000000" w:sz="4"/>
            </w:tcBorders>
            <w:vAlign w:val="top"/>
          </w:tcPr>
          <w:p>
            <w:pPr>
              <w:jc w:val="center"/>
            </w:pPr>
          </w:p>
        </w:tc>
        <w:tc>
          <w:tcPr>
            <w:tcW w:type="dxa" w:w="663"/>
            <w:tcBorders>
              <w:top w:val="single" w:color="000000" w:sz="4"/>
              <w:left w:val="single" w:color="000000" w:sz="4"/>
              <w:bottom w:val="single" w:color="000000" w:sz="4"/>
              <w:right w:val="single" w:color="000000" w:sz="4"/>
            </w:tcBorders>
            <w:vAlign w:val="top"/>
          </w:tcPr>
          <w:p>
            <w:pPr>
              <w:jc w:val="center"/>
            </w:pPr>
          </w:p>
        </w:tc>
      </w:tr>
    </w:tbl>
    <w:p>
      <w:pPr>
        <w:jc w:val="both"/>
      </w:pPr>
    </w:p>
    <w:p>
      <w:pPr>
        <w:jc w:val="both"/>
      </w:pPr>
      <w:r>
        <w:rPr>
          <w:b/>
          <w:sz w:val="21"/>
        </w:rPr>
        <w:t>三、</w:t>
      </w:r>
      <w:r>
        <w:rPr>
          <w:b/>
          <w:sz w:val="21"/>
        </w:rPr>
        <w:t>项目技术内容（或详细技术要求）</w:t>
      </w:r>
    </w:p>
    <w:p>
      <w:pPr>
        <w:jc w:val="left"/>
      </w:pPr>
    </w:p>
    <w:p>
      <w:pPr>
        <w:jc w:val="left"/>
      </w:pPr>
      <w:r>
        <w:rPr>
          <w:sz w:val="21"/>
        </w:rPr>
        <w:t>（双方自行完善或详见附件）</w:t>
      </w:r>
    </w:p>
    <w:p>
      <w:pPr>
        <w:jc w:val="both"/>
      </w:pPr>
      <w:r>
        <w:rPr>
          <w:b/>
          <w:sz w:val="21"/>
        </w:rPr>
        <w:t>四、</w:t>
      </w:r>
      <w:r>
        <w:rPr>
          <w:b/>
          <w:sz w:val="21"/>
        </w:rPr>
        <w:t>合同金额</w:t>
      </w:r>
    </w:p>
    <w:p>
      <w:pPr>
        <w:jc w:val="left"/>
      </w:pPr>
      <w:r>
        <w:rPr>
          <w:sz w:val="24"/>
        </w:rPr>
        <w:t>(一)</w:t>
      </w:r>
      <w:r>
        <w:rPr>
          <w:sz w:val="21"/>
        </w:rPr>
        <w:t>合同价为：</w:t>
      </w:r>
    </w:p>
    <w:p>
      <w:pPr>
        <w:jc w:val="left"/>
      </w:pPr>
      <w:r>
        <w:rPr>
          <w:sz w:val="21"/>
        </w:rPr>
        <w:t>小写：￥；</w:t>
      </w:r>
    </w:p>
    <w:p>
      <w:pPr>
        <w:jc w:val="left"/>
      </w:pPr>
      <w:r>
        <w:rPr>
          <w:sz w:val="21"/>
        </w:rPr>
        <w:t>大写：人民币。</w:t>
      </w:r>
    </w:p>
    <w:p>
      <w:pPr>
        <w:jc w:val="left"/>
      </w:pPr>
      <w:r>
        <w:rPr>
          <w:sz w:val="24"/>
        </w:rPr>
        <w:t>(二)</w:t>
      </w:r>
      <w:r>
        <w:rPr>
          <w:sz w:val="21"/>
        </w:rPr>
        <w:t>合同价为广东省佛山市目的地交付价。</w:t>
      </w:r>
    </w:p>
    <w:p>
      <w:pPr>
        <w:jc w:val="left"/>
      </w:pPr>
      <w:r>
        <w:rPr>
          <w:sz w:val="24"/>
        </w:rPr>
        <w:t>(三)</w:t>
      </w:r>
      <w:r>
        <w:rPr>
          <w:sz w:val="21"/>
        </w:rPr>
        <w:t>合同价为乙方</w:t>
      </w:r>
      <w:r>
        <w:rPr>
          <w:sz w:val="21"/>
        </w:rPr>
        <w:t>为完成本项目所收取的全部费用，包含但不限于以下费用：</w:t>
      </w:r>
    </w:p>
    <w:p>
      <w:pPr>
        <w:jc w:val="left"/>
      </w:pPr>
      <w:r>
        <w:rPr>
          <w:sz w:val="21"/>
          <w:u w:val="single"/>
        </w:rPr>
        <w:t>货物及零配件设计费、成本费、运输费、装卸费、保险费、安装费、调试费、初步验收及最终稳定性验收费用、材料费、技术服务费（含联络费、培训费、保修费）、各项税费及不可预见费等完成本招标内容所需的一切费用。</w:t>
      </w:r>
    </w:p>
    <w:p>
      <w:pPr>
        <w:jc w:val="left"/>
      </w:pPr>
      <w:r>
        <w:rPr>
          <w:sz w:val="24"/>
        </w:rPr>
        <w:t>(</w:t>
      </w:r>
      <w:r>
        <w:rPr>
          <w:sz w:val="24"/>
        </w:rPr>
        <w:t>四</w:t>
      </w:r>
      <w:r>
        <w:rPr>
          <w:sz w:val="24"/>
        </w:rPr>
        <w:t>)</w:t>
      </w:r>
      <w:r>
        <w:rPr>
          <w:sz w:val="21"/>
        </w:rPr>
        <w:t>根据国务院关税税则委员会关于对原产于境外进口商品加征关税的系列公告，中标人提供的货物原产地如来自境外，且该货物在公告的商品清单内的，加征的关税由乙方支付，甲方不负责加征的关税。</w:t>
      </w:r>
    </w:p>
    <w:p>
      <w:pPr>
        <w:jc w:val="both"/>
      </w:pPr>
      <w:r>
        <w:rPr>
          <w:b/>
          <w:sz w:val="21"/>
        </w:rPr>
        <w:t>五、</w:t>
      </w:r>
      <w:r>
        <w:rPr>
          <w:b/>
          <w:sz w:val="21"/>
        </w:rPr>
        <w:t>项目完工期</w:t>
      </w:r>
    </w:p>
    <w:p>
      <w:pPr>
        <w:jc w:val="left"/>
      </w:pPr>
      <w:r>
        <w:rPr>
          <w:sz w:val="24"/>
        </w:rPr>
        <w:t>(一)</w:t>
      </w:r>
      <w:r>
        <w:rPr>
          <w:sz w:val="21"/>
          <w:u w:val="single"/>
        </w:rPr>
        <w:t>合同签订生效之日起</w:t>
      </w:r>
      <w:r>
        <w:rPr>
          <w:sz w:val="21"/>
          <w:u w:val="single"/>
        </w:rPr>
        <w:t xml:space="preserve">  </w:t>
      </w:r>
      <w:r>
        <w:rPr>
          <w:sz w:val="21"/>
          <w:u w:val="single"/>
        </w:rPr>
        <w:t>日历日内完成整个项目的供货、安装、调试、初步验收合格并交付甲方使用。</w:t>
      </w:r>
    </w:p>
    <w:p>
      <w:pPr>
        <w:jc w:val="both"/>
      </w:pPr>
      <w:r>
        <w:rPr>
          <w:b/>
          <w:sz w:val="21"/>
        </w:rPr>
        <w:t>六、</w:t>
      </w:r>
      <w:r>
        <w:rPr>
          <w:b/>
          <w:sz w:val="21"/>
        </w:rPr>
        <w:t>交付使用地点</w:t>
      </w:r>
    </w:p>
    <w:p>
      <w:pPr>
        <w:jc w:val="left"/>
      </w:pPr>
      <w:r>
        <w:rPr>
          <w:sz w:val="24"/>
        </w:rPr>
        <w:t>(一)</w:t>
      </w:r>
      <w:r>
        <w:rPr>
          <w:sz w:val="21"/>
          <w:u w:val="single"/>
        </w:rPr>
        <w:t>甲方指定地点。</w:t>
      </w:r>
    </w:p>
    <w:p>
      <w:pPr>
        <w:jc w:val="both"/>
      </w:pPr>
      <w:r>
        <w:rPr>
          <w:b/>
          <w:sz w:val="21"/>
        </w:rPr>
        <w:t>七、</w:t>
      </w:r>
      <w:r>
        <w:rPr>
          <w:b/>
          <w:sz w:val="21"/>
        </w:rPr>
        <w:t>付款办法</w:t>
      </w:r>
    </w:p>
    <w:p>
      <w:pPr>
        <w:jc w:val="left"/>
      </w:pPr>
      <w:r>
        <w:rPr>
          <w:sz w:val="24"/>
        </w:rPr>
        <w:t>(一)</w:t>
      </w:r>
      <w:r>
        <w:rPr>
          <w:sz w:val="21"/>
          <w:u w:val="single"/>
        </w:rPr>
        <w:t>合同款项支付阶段和比例如下：</w:t>
      </w:r>
    </w:p>
    <w:p>
      <w:pPr>
        <w:ind w:firstLine="420"/>
        <w:jc w:val="both"/>
      </w:pPr>
      <w:r>
        <w:rPr>
          <w:sz w:val="21"/>
        </w:rPr>
        <w:t>1.</w:t>
      </w:r>
      <w:r>
        <w:rPr>
          <w:sz w:val="21"/>
        </w:rPr>
        <w:t>合同生效后，甲方向乙方支付合同款总金额的</w:t>
      </w:r>
      <w:r>
        <w:rPr>
          <w:sz w:val="21"/>
          <w:u w:val="single"/>
        </w:rPr>
        <w:t>%</w:t>
      </w:r>
      <w:r>
        <w:rPr>
          <w:sz w:val="21"/>
        </w:rPr>
        <w:t>；</w:t>
      </w:r>
    </w:p>
    <w:p>
      <w:pPr>
        <w:ind w:firstLine="420"/>
        <w:jc w:val="both"/>
      </w:pPr>
      <w:r>
        <w:rPr>
          <w:sz w:val="21"/>
        </w:rPr>
        <w:t>2.</w:t>
      </w:r>
      <w:r>
        <w:rPr>
          <w:sz w:val="21"/>
        </w:rPr>
        <w:t>货物到达甲方指定地点后，甲方向乙方支付合同款总金额的</w:t>
      </w:r>
      <w:r>
        <w:rPr>
          <w:sz w:val="21"/>
          <w:u w:val="single"/>
        </w:rPr>
        <w:t>%</w:t>
      </w:r>
      <w:r>
        <w:rPr>
          <w:sz w:val="21"/>
        </w:rPr>
        <w:t>；</w:t>
      </w:r>
    </w:p>
    <w:p>
      <w:pPr>
        <w:ind w:firstLine="420"/>
        <w:jc w:val="both"/>
      </w:pPr>
      <w:r>
        <w:rPr>
          <w:sz w:val="21"/>
        </w:rPr>
        <w:t>3.</w:t>
      </w:r>
      <w:r>
        <w:rPr>
          <w:sz w:val="21"/>
        </w:rPr>
        <w:t>货物完成安装、调试和试运行期（</w:t>
      </w:r>
      <w:r>
        <w:rPr>
          <w:sz w:val="21"/>
        </w:rPr>
        <w:t>30</w:t>
      </w:r>
      <w:r>
        <w:rPr>
          <w:sz w:val="21"/>
        </w:rPr>
        <w:t>个日历天）满后进行初步验收，初步验收合格后，甲方向乙方支付合同总金额的</w:t>
      </w:r>
      <w:r>
        <w:rPr>
          <w:sz w:val="21"/>
          <w:u w:val="single"/>
        </w:rPr>
        <w:t>%</w:t>
      </w:r>
      <w:r>
        <w:rPr>
          <w:sz w:val="21"/>
        </w:rPr>
        <w:t>；</w:t>
      </w:r>
    </w:p>
    <w:p>
      <w:pPr>
        <w:ind w:firstLine="420"/>
        <w:jc w:val="both"/>
      </w:pPr>
      <w:r>
        <w:rPr>
          <w:sz w:val="21"/>
        </w:rPr>
        <w:t>4.</w:t>
      </w:r>
      <w:r>
        <w:rPr>
          <w:sz w:val="21"/>
        </w:rPr>
        <w:t>初步验收合格之日起，待设备磨合期</w:t>
      </w:r>
      <w:r>
        <w:rPr>
          <w:sz w:val="21"/>
        </w:rPr>
        <w:t>1</w:t>
      </w:r>
      <w:r>
        <w:rPr>
          <w:sz w:val="21"/>
        </w:rPr>
        <w:t>年后，</w:t>
      </w:r>
      <w:r>
        <w:rPr>
          <w:sz w:val="21"/>
        </w:rPr>
        <w:t>确保设备稳定且检测分析数据准确</w:t>
      </w:r>
      <w:r>
        <w:rPr>
          <w:sz w:val="21"/>
        </w:rPr>
        <w:t>组织设备最终</w:t>
      </w:r>
      <w:r>
        <w:rPr>
          <w:sz w:val="21"/>
        </w:rPr>
        <w:t>稳定性</w:t>
      </w:r>
      <w:r>
        <w:rPr>
          <w:sz w:val="21"/>
        </w:rPr>
        <w:t>验收。最终</w:t>
      </w:r>
      <w:r>
        <w:rPr>
          <w:sz w:val="21"/>
        </w:rPr>
        <w:t>稳定性</w:t>
      </w:r>
      <w:r>
        <w:rPr>
          <w:sz w:val="21"/>
        </w:rPr>
        <w:t>验收合格后，甲方向乙方支付合同总金额的</w:t>
      </w:r>
      <w:r>
        <w:rPr>
          <w:sz w:val="21"/>
        </w:rPr>
        <w:t>5%</w:t>
      </w:r>
      <w:r>
        <w:rPr>
          <w:sz w:val="21"/>
        </w:rPr>
        <w:t>。</w:t>
      </w:r>
      <w:r>
        <w:rPr>
          <w:sz w:val="21"/>
        </w:rPr>
        <w:t>备注：</w:t>
      </w:r>
    </w:p>
    <w:p>
      <w:pPr>
        <w:ind w:firstLine="420"/>
        <w:jc w:val="both"/>
      </w:pPr>
      <w:r>
        <w:rPr>
          <w:sz w:val="21"/>
        </w:rPr>
        <w:t>1</w:t>
      </w:r>
      <w:r>
        <w:rPr>
          <w:sz w:val="21"/>
        </w:rPr>
        <w:t>）支付方式包括支票、银行汇付（含电汇）等形式；</w:t>
      </w:r>
    </w:p>
    <w:p>
      <w:pPr>
        <w:ind w:firstLine="420"/>
        <w:jc w:val="both"/>
      </w:pPr>
      <w:r>
        <w:rPr>
          <w:sz w:val="21"/>
        </w:rPr>
        <w:t>2</w:t>
      </w:r>
      <w:r>
        <w:rPr>
          <w:sz w:val="21"/>
        </w:rPr>
        <w:t>）每笔款项支付前中标人须向采购人提供等额正式发票；</w:t>
      </w:r>
    </w:p>
    <w:p>
      <w:pPr>
        <w:ind w:firstLine="420"/>
        <w:jc w:val="both"/>
      </w:pPr>
      <w:r>
        <w:rPr>
          <w:sz w:val="21"/>
        </w:rPr>
        <w:t>3</w:t>
      </w:r>
      <w:r>
        <w:rPr>
          <w:sz w:val="21"/>
        </w:rPr>
        <w:t>）付款完毕并不代表合同履约的终止，中标人仍需按合同要求对设备进行质量保修。</w:t>
      </w:r>
    </w:p>
    <w:p>
      <w:pPr>
        <w:jc w:val="left"/>
      </w:pPr>
      <w:r>
        <w:rPr>
          <w:sz w:val="24"/>
        </w:rPr>
        <w:t>(二)</w:t>
      </w:r>
      <w:r>
        <w:rPr>
          <w:sz w:val="21"/>
          <w:u w:val="single"/>
        </w:rPr>
        <w:t>结算方式：转账结算（银行转账）。</w:t>
      </w:r>
    </w:p>
    <w:p>
      <w:pPr>
        <w:jc w:val="left"/>
      </w:pPr>
      <w:r>
        <w:rPr>
          <w:sz w:val="24"/>
        </w:rPr>
        <w:t>(三)</w:t>
      </w:r>
      <w:r>
        <w:rPr>
          <w:sz w:val="21"/>
          <w:u w:val="single"/>
        </w:rPr>
        <w:t>付款方：甲方；收款方：乙方。</w:t>
      </w:r>
    </w:p>
    <w:p>
      <w:pPr>
        <w:jc w:val="left"/>
      </w:pPr>
      <w:r>
        <w:rPr>
          <w:sz w:val="24"/>
        </w:rPr>
        <w:t>(四)</w:t>
      </w:r>
      <w:r>
        <w:rPr>
          <w:sz w:val="21"/>
          <w:u w:val="single"/>
        </w:rPr>
        <w:t>开具发票：乙方须在每次收款前向甲方开具等额的正式发票。收款方、出具发票方、合同乙方均必须名称一致。</w:t>
      </w:r>
    </w:p>
    <w:p>
      <w:pPr>
        <w:jc w:val="left"/>
      </w:pPr>
      <w:r>
        <w:rPr>
          <w:sz w:val="24"/>
        </w:rPr>
        <w:t>(五)</w:t>
      </w:r>
      <w:r>
        <w:rPr>
          <w:sz w:val="21"/>
          <w:u w:val="single"/>
        </w:rPr>
        <w:t>付款期间如因特殊情况需调整，由双方协商处理。</w:t>
      </w:r>
    </w:p>
    <w:p>
      <w:pPr>
        <w:jc w:val="both"/>
      </w:pPr>
      <w:r>
        <w:rPr>
          <w:b/>
          <w:sz w:val="21"/>
        </w:rPr>
        <w:t>八、</w:t>
      </w:r>
      <w:r>
        <w:rPr>
          <w:b/>
          <w:sz w:val="21"/>
        </w:rPr>
        <w:t>物流服务</w:t>
      </w:r>
    </w:p>
    <w:p>
      <w:pPr>
        <w:jc w:val="left"/>
      </w:pPr>
      <w:r>
        <w:rPr>
          <w:sz w:val="24"/>
        </w:rPr>
        <w:t>(一)</w:t>
      </w:r>
      <w:r>
        <w:rPr>
          <w:sz w:val="21"/>
          <w:u w:val="single"/>
        </w:rPr>
        <w:t>包装：乙方所供货物必须为制造商原厂包装，包装质量符合国家相关标准。货物要求有包装材料保护运至现场。因包装不良造成的损失由乙方负责。</w:t>
      </w:r>
    </w:p>
    <w:p>
      <w:pPr>
        <w:jc w:val="left"/>
      </w:pPr>
      <w:r>
        <w:rPr>
          <w:sz w:val="24"/>
        </w:rPr>
        <w:t>(二)</w:t>
      </w:r>
      <w:r>
        <w:rPr>
          <w:sz w:val="21"/>
          <w:u w:val="single"/>
        </w:rPr>
        <w:t>运输：乙方根据甲方指定的安装地点</w:t>
      </w:r>
      <w:r>
        <w:rPr>
          <w:sz w:val="21"/>
          <w:u w:val="single"/>
        </w:rPr>
        <w:t>,负责将货物材料运送到现场，在此过程中的全部运输（包括但不限于装卸车、货物现场的搬运）所产生的全部费用由乙方负责。</w:t>
      </w:r>
    </w:p>
    <w:p>
      <w:pPr>
        <w:jc w:val="left"/>
      </w:pPr>
      <w:r>
        <w:rPr>
          <w:sz w:val="24"/>
        </w:rPr>
        <w:t>(三)</w:t>
      </w:r>
      <w:r>
        <w:rPr>
          <w:sz w:val="21"/>
          <w:u w:val="single"/>
        </w:rPr>
        <w:t>装卸：各种货物，必须提供装箱清单，按装箱清单验收货物。</w:t>
      </w:r>
    </w:p>
    <w:p>
      <w:pPr>
        <w:jc w:val="left"/>
      </w:pPr>
      <w:r>
        <w:rPr>
          <w:sz w:val="24"/>
        </w:rPr>
        <w:t>(四)</w:t>
      </w:r>
      <w:r>
        <w:rPr>
          <w:sz w:val="21"/>
          <w:u w:val="single"/>
        </w:rPr>
        <w:t>保管：货物在现场的保管由乙方负责，直至项目安装、验收完毕。</w:t>
      </w:r>
    </w:p>
    <w:p>
      <w:pPr>
        <w:jc w:val="both"/>
      </w:pPr>
      <w:r>
        <w:rPr>
          <w:b/>
          <w:sz w:val="21"/>
        </w:rPr>
        <w:t>九、</w:t>
      </w:r>
      <w:r>
        <w:rPr>
          <w:b/>
          <w:sz w:val="21"/>
        </w:rPr>
        <w:t>安装调试</w:t>
      </w:r>
    </w:p>
    <w:p>
      <w:pPr>
        <w:jc w:val="left"/>
      </w:pPr>
      <w:r>
        <w:rPr>
          <w:sz w:val="24"/>
        </w:rPr>
        <w:t>(一)</w:t>
      </w:r>
      <w:r>
        <w:rPr>
          <w:sz w:val="21"/>
          <w:u w:val="single"/>
        </w:rPr>
        <w:t>人员及工作要求：乙方应设安装负责人，负责安装协调管理工作。</w:t>
      </w:r>
    </w:p>
    <w:p>
      <w:pPr>
        <w:jc w:val="left"/>
      </w:pPr>
      <w:r>
        <w:rPr>
          <w:sz w:val="24"/>
        </w:rPr>
        <w:t>(二)</w:t>
      </w:r>
      <w:r>
        <w:rPr>
          <w:sz w:val="21"/>
          <w:u w:val="single"/>
        </w:rPr>
        <w:t>前提要求：乙方应提交详细安装进度表。</w:t>
      </w:r>
    </w:p>
    <w:p>
      <w:pPr>
        <w:jc w:val="left"/>
      </w:pPr>
      <w:r>
        <w:rPr>
          <w:sz w:val="24"/>
        </w:rPr>
        <w:t>(三)</w:t>
      </w:r>
      <w:r>
        <w:rPr>
          <w:sz w:val="21"/>
          <w:u w:val="single"/>
        </w:rPr>
        <w:t>安装施工：安装所需工具、设施、物料由乙方自备、自费运到现场，完工后自费搬走；乙方必须充分考虑现场的安装难度及安全性，做好施工现场的安全防护、文明施工工作。安装过程中发生的一切责任及费用由乙方负责，如对其他物品或结构造成损坏必须照价赔偿。本项目的施工、安装如涉及场地的开孔及修复，其费用由乙方负责；乙方要做好现场使用安全及文明措施，按有关规定规范设置围栏围护，安全警示等，如发生安全事故，一切责任及费用由乙方负责。</w:t>
      </w:r>
    </w:p>
    <w:p>
      <w:pPr>
        <w:jc w:val="left"/>
      </w:pPr>
      <w:r>
        <w:rPr>
          <w:sz w:val="24"/>
        </w:rPr>
        <w:t>(四)</w:t>
      </w:r>
      <w:r>
        <w:rPr>
          <w:sz w:val="21"/>
          <w:u w:val="single"/>
        </w:rPr>
        <w:t>调试：乙方必须依照招标文件的要求和投标文件的承诺，将设备、系统安装并调试至正常运行的最佳状态。</w:t>
      </w:r>
    </w:p>
    <w:p>
      <w:pPr>
        <w:jc w:val="left"/>
      </w:pPr>
      <w:r>
        <w:rPr>
          <w:sz w:val="24"/>
        </w:rPr>
        <w:t>(五)</w:t>
      </w:r>
      <w:r>
        <w:rPr>
          <w:sz w:val="21"/>
          <w:u w:val="single"/>
        </w:rPr>
        <w:t>其他：设备的拆箱、安装、通电、调试等项工作由乙方负责，但必须在甲方指定人员的参与下进行。调试的原始记录须经各方签字后作为验收的文件之一。</w:t>
      </w:r>
    </w:p>
    <w:p>
      <w:pPr>
        <w:jc w:val="both"/>
      </w:pPr>
      <w:r>
        <w:rPr>
          <w:b/>
          <w:sz w:val="21"/>
        </w:rPr>
        <w:t>十、</w:t>
      </w:r>
      <w:r>
        <w:rPr>
          <w:b/>
          <w:sz w:val="21"/>
        </w:rPr>
        <w:t>设备要求及验收标准</w:t>
      </w:r>
    </w:p>
    <w:p>
      <w:pPr>
        <w:jc w:val="left"/>
      </w:pPr>
      <w:r>
        <w:rPr>
          <w:sz w:val="24"/>
        </w:rPr>
        <w:t>(一)</w:t>
      </w:r>
      <w:r>
        <w:rPr>
          <w:sz w:val="21"/>
          <w:u w:val="single"/>
        </w:rPr>
        <w:t>货物特性：货物为原制造商制造的全新产品，无污染，无侵权行为、表面无划损、无任何缺陷隐患，在中国境内可依规安全合法使用。货物为原厂商未启封全新包装，具出厂合格证，序列号、包装箱号与出厂批号一致，并可追溯查阅。所有随设备的附件必须齐全。如货物为进口产品，还须提供报关证明、来源合法证明等材料。</w:t>
      </w:r>
    </w:p>
    <w:p>
      <w:pPr>
        <w:jc w:val="left"/>
      </w:pPr>
      <w:r>
        <w:rPr>
          <w:sz w:val="24"/>
        </w:rPr>
        <w:t>(二)</w:t>
      </w:r>
      <w:r>
        <w:rPr>
          <w:sz w:val="21"/>
          <w:u w:val="single"/>
        </w:rPr>
        <w:t>乙方应将关键主机设备的用户手册、保修手册、有关单证资料及配备件、随机工具等交付给甲方，使用操作及安全须知等重要资料应附有中文说明。</w:t>
      </w:r>
    </w:p>
    <w:p>
      <w:pPr>
        <w:jc w:val="left"/>
      </w:pPr>
      <w:r>
        <w:rPr>
          <w:sz w:val="24"/>
        </w:rPr>
        <w:t>(三)</w:t>
      </w:r>
      <w:r>
        <w:rPr>
          <w:sz w:val="21"/>
          <w:u w:val="single"/>
        </w:rPr>
        <w:t>乙方应提供项目详细的验收方案，包括验收项目、验收标准、验收实施办法等。具体验收方案以甲方要求并确认的为准。</w:t>
      </w:r>
    </w:p>
    <w:p>
      <w:pPr>
        <w:jc w:val="left"/>
      </w:pPr>
      <w:r>
        <w:rPr>
          <w:sz w:val="24"/>
        </w:rPr>
        <w:t>(四)</w:t>
      </w:r>
      <w:r>
        <w:rPr>
          <w:sz w:val="21"/>
        </w:rPr>
        <w:t>验收</w:t>
      </w:r>
      <w:r>
        <w:rPr>
          <w:sz w:val="21"/>
          <w:u w:val="single"/>
        </w:rPr>
        <w:t>：设备安装完工、调试成功后进入为期</w:t>
      </w:r>
      <w:r>
        <w:rPr>
          <w:sz w:val="21"/>
          <w:u w:val="single"/>
        </w:rPr>
        <w:t>30日历天的试运行期，如试运行期内设备运行正常，达到甲方要求，则双方在试运行期后</w:t>
      </w:r>
      <w:r>
        <w:rPr>
          <w:sz w:val="21"/>
          <w:u w:val="single"/>
        </w:rPr>
        <w:t>20个工作日</w:t>
      </w:r>
      <w:r>
        <w:rPr>
          <w:sz w:val="21"/>
          <w:u w:val="single"/>
        </w:rPr>
        <w:t>内组织初步</w:t>
      </w:r>
      <w:r>
        <w:rPr>
          <w:sz w:val="21"/>
          <w:u w:val="single"/>
        </w:rPr>
        <w:t>验收</w:t>
      </w:r>
      <w:r>
        <w:rPr>
          <w:sz w:val="21"/>
          <w:u w:val="single"/>
        </w:rPr>
        <w:t>。</w:t>
      </w:r>
    </w:p>
    <w:p>
      <w:pPr>
        <w:jc w:val="left"/>
      </w:pPr>
      <w:r>
        <w:rPr>
          <w:sz w:val="24"/>
        </w:rPr>
        <w:t>(五)</w:t>
      </w:r>
      <w:r>
        <w:rPr>
          <w:sz w:val="21"/>
          <w:u w:val="single"/>
        </w:rPr>
        <w:t>验收标准</w:t>
      </w:r>
    </w:p>
    <w:p>
      <w:pPr>
        <w:ind w:firstLine="420"/>
        <w:jc w:val="left"/>
      </w:pPr>
      <w:r>
        <w:rPr>
          <w:sz w:val="21"/>
          <w:u w:val="single"/>
        </w:rPr>
        <w:t>5.1依次序对照适用标准为：</w:t>
      </w:r>
    </w:p>
    <w:p>
      <w:pPr>
        <w:ind w:firstLine="420"/>
        <w:jc w:val="left"/>
      </w:pPr>
      <w:r>
        <w:rPr>
          <w:sz w:val="21"/>
          <w:u w:val="single"/>
        </w:rPr>
        <w:t>1.符合中华人民共和国国家安全质量标准、环保标准或行业标准；</w:t>
      </w:r>
    </w:p>
    <w:p>
      <w:pPr>
        <w:ind w:firstLine="420"/>
        <w:jc w:val="left"/>
      </w:pPr>
      <w:r>
        <w:rPr>
          <w:sz w:val="21"/>
          <w:u w:val="single"/>
        </w:rPr>
        <w:t>2.符合招标文件和响应承诺中甲方认可的合理最佳配置、参数及各项要求；</w:t>
      </w:r>
    </w:p>
    <w:p>
      <w:pPr>
        <w:ind w:firstLine="420"/>
        <w:jc w:val="left"/>
      </w:pPr>
      <w:r>
        <w:rPr>
          <w:sz w:val="21"/>
          <w:u w:val="single"/>
        </w:rPr>
        <w:t>3.货物来源国家官方标准。</w:t>
      </w:r>
    </w:p>
    <w:p>
      <w:pPr>
        <w:ind w:firstLine="420"/>
        <w:jc w:val="left"/>
      </w:pPr>
      <w:r>
        <w:rPr>
          <w:sz w:val="21"/>
          <w:u w:val="single"/>
        </w:rPr>
        <w:t>上述标准必须是有关官方机构发布的最新版本的标准。</w:t>
      </w:r>
    </w:p>
    <w:p>
      <w:pPr>
        <w:ind w:firstLine="420"/>
        <w:jc w:val="left"/>
      </w:pPr>
      <w:r>
        <w:rPr>
          <w:sz w:val="21"/>
          <w:u w:val="single"/>
        </w:rPr>
        <w:t>5.2验收人员：</w:t>
      </w:r>
    </w:p>
    <w:p>
      <w:pPr>
        <w:ind w:firstLine="420"/>
        <w:jc w:val="left"/>
      </w:pPr>
      <w:r>
        <w:rPr>
          <w:sz w:val="21"/>
          <w:u w:val="single"/>
        </w:rPr>
        <w:t>1.甲方，或其委托的第三方机构（如有）；</w:t>
      </w:r>
    </w:p>
    <w:p>
      <w:pPr>
        <w:ind w:firstLine="420"/>
        <w:jc w:val="left"/>
      </w:pPr>
      <w:r>
        <w:rPr>
          <w:sz w:val="21"/>
          <w:u w:val="single"/>
        </w:rPr>
        <w:t>2.乙方。</w:t>
      </w:r>
    </w:p>
    <w:p>
      <w:pPr>
        <w:ind w:firstLine="420"/>
        <w:jc w:val="left"/>
      </w:pPr>
      <w:r>
        <w:rPr>
          <w:sz w:val="21"/>
          <w:u w:val="single"/>
        </w:rPr>
        <w:t>5.3技术资料</w:t>
      </w:r>
    </w:p>
    <w:p>
      <w:pPr>
        <w:ind w:firstLine="420"/>
        <w:jc w:val="left"/>
      </w:pPr>
      <w:r>
        <w:rPr>
          <w:sz w:val="21"/>
          <w:u w:val="single"/>
        </w:rPr>
        <w:t>1.交货时，应同时交付产品使用手册、质量检验证书（合格证）等相关资料。</w:t>
      </w:r>
    </w:p>
    <w:p>
      <w:pPr>
        <w:ind w:firstLine="420"/>
        <w:jc w:val="left"/>
      </w:pPr>
      <w:r>
        <w:rPr>
          <w:sz w:val="21"/>
          <w:u w:val="single"/>
        </w:rPr>
        <w:t>2.验收后，应提供验收报告。</w:t>
      </w:r>
    </w:p>
    <w:p>
      <w:pPr>
        <w:ind w:firstLine="420"/>
        <w:jc w:val="left"/>
      </w:pPr>
      <w:r>
        <w:rPr>
          <w:sz w:val="21"/>
          <w:u w:val="single"/>
        </w:rPr>
        <w:t>3.资料提供方：乙方；资料受理方：甲方。</w:t>
      </w:r>
    </w:p>
    <w:p>
      <w:pPr>
        <w:ind w:firstLine="420"/>
        <w:jc w:val="left"/>
      </w:pPr>
      <w:r>
        <w:rPr>
          <w:sz w:val="21"/>
          <w:u w:val="single"/>
        </w:rPr>
        <w:t>5.4验收结果确认：验收完毕由甲方及乙方在验收报告上签名确认。</w:t>
      </w:r>
    </w:p>
    <w:p>
      <w:pPr>
        <w:jc w:val="left"/>
      </w:pPr>
      <w:r>
        <w:rPr>
          <w:sz w:val="24"/>
        </w:rPr>
        <w:t>(六)</w:t>
      </w:r>
      <w:r>
        <w:rPr>
          <w:sz w:val="21"/>
          <w:u w:val="single"/>
        </w:rPr>
        <w:t>凡列入《中华人民共和国实施强制性产品认证的产品目录》的产品在验收时必须出具</w:t>
      </w:r>
      <w:r>
        <w:rPr>
          <w:sz w:val="21"/>
          <w:u w:val="single"/>
        </w:rPr>
        <w:t>CCC认证证书复印件，并在产品外部加施认证标志作为验收依据之一。</w:t>
      </w:r>
    </w:p>
    <w:p>
      <w:pPr>
        <w:jc w:val="left"/>
      </w:pPr>
      <w:r>
        <w:rPr>
          <w:sz w:val="24"/>
        </w:rPr>
        <w:t>(七)</w:t>
      </w:r>
      <w:r>
        <w:rPr>
          <w:sz w:val="21"/>
          <w:u w:val="single"/>
        </w:rPr>
        <w:t>最终</w:t>
      </w:r>
      <w:r>
        <w:rPr>
          <w:sz w:val="21"/>
        </w:rPr>
        <w:t>稳定性</w:t>
      </w:r>
      <w:r>
        <w:rPr>
          <w:sz w:val="21"/>
          <w:u w:val="single"/>
        </w:rPr>
        <w:t>验收：</w:t>
      </w:r>
      <w:r>
        <w:rPr>
          <w:color w:val="000000"/>
          <w:sz w:val="21"/>
        </w:rPr>
        <w:t>初步验收合格之日起，待设备磨合期</w:t>
      </w:r>
      <w:r>
        <w:rPr>
          <w:color w:val="000000"/>
          <w:sz w:val="21"/>
        </w:rPr>
        <w:t>1</w:t>
      </w:r>
      <w:r>
        <w:rPr>
          <w:color w:val="000000"/>
          <w:sz w:val="21"/>
        </w:rPr>
        <w:t>年后，确保设备稳定且检测分析数据准确须组织设备最终稳定性验收。</w:t>
      </w:r>
    </w:p>
    <w:p>
      <w:pPr>
        <w:jc w:val="both"/>
      </w:pPr>
      <w:r>
        <w:rPr>
          <w:b/>
          <w:sz w:val="21"/>
        </w:rPr>
        <w:t>十一、</w:t>
      </w:r>
      <w:r>
        <w:rPr>
          <w:b/>
          <w:sz w:val="21"/>
        </w:rPr>
        <w:t>培训</w:t>
      </w:r>
    </w:p>
    <w:p>
      <w:pPr>
        <w:jc w:val="left"/>
      </w:pPr>
      <w:r>
        <w:rPr>
          <w:sz w:val="24"/>
        </w:rPr>
        <w:t>(一)</w:t>
      </w:r>
      <w:r>
        <w:rPr>
          <w:sz w:val="21"/>
          <w:u w:val="single"/>
        </w:rPr>
        <w:t>基本要求：乙方须根据甲方的要求，安排熟悉本项目的专业技术人员在甲方指定的地点（佛山市内）向甲方提供完备、全面的产品使用培训。</w:t>
      </w:r>
    </w:p>
    <w:p>
      <w:pPr>
        <w:jc w:val="left"/>
      </w:pPr>
      <w:r>
        <w:rPr>
          <w:sz w:val="24"/>
        </w:rPr>
        <w:t>(二)</w:t>
      </w:r>
      <w:r>
        <w:rPr>
          <w:sz w:val="21"/>
          <w:u w:val="single"/>
        </w:rPr>
        <w:t>目的：确保甲方能够对设备、系统有足够的了解，能够独立进行日常操作、管理和维护。</w:t>
      </w:r>
    </w:p>
    <w:p>
      <w:pPr>
        <w:jc w:val="left"/>
      </w:pPr>
      <w:r>
        <w:rPr>
          <w:sz w:val="24"/>
        </w:rPr>
        <w:t>(三)</w:t>
      </w:r>
      <w:r>
        <w:rPr>
          <w:sz w:val="21"/>
          <w:u w:val="single"/>
        </w:rPr>
        <w:t>培训资料：乙方必须为所有被培训人员提供培训用文字资料和讲义等相关用品。所有的资料必须是中文书写。</w:t>
      </w:r>
    </w:p>
    <w:p>
      <w:pPr>
        <w:jc w:val="left"/>
      </w:pPr>
      <w:r>
        <w:rPr>
          <w:sz w:val="24"/>
        </w:rPr>
        <w:t>(四)</w:t>
      </w:r>
      <w:r>
        <w:rPr>
          <w:sz w:val="21"/>
          <w:u w:val="single"/>
        </w:rPr>
        <w:t>培训费用：所有与本项目有关的培训费用包括差旅、食宿、教材、资料等由乙方负责，均计入投标报价中。</w:t>
      </w:r>
    </w:p>
    <w:p>
      <w:pPr>
        <w:jc w:val="both"/>
      </w:pPr>
      <w:r>
        <w:rPr>
          <w:b/>
          <w:sz w:val="21"/>
        </w:rPr>
        <w:t>十二、</w:t>
      </w:r>
      <w:r>
        <w:rPr>
          <w:b/>
          <w:sz w:val="21"/>
        </w:rPr>
        <w:t>质保期</w:t>
      </w:r>
    </w:p>
    <w:p>
      <w:pPr>
        <w:jc w:val="left"/>
      </w:pPr>
      <w:r>
        <w:rPr>
          <w:sz w:val="24"/>
        </w:rPr>
        <w:t>(一)</w:t>
      </w:r>
      <w:r>
        <w:rPr>
          <w:sz w:val="21"/>
          <w:u w:val="single"/>
        </w:rPr>
        <w:t>本合同的质量保证期（简称</w:t>
      </w:r>
      <w:r>
        <w:rPr>
          <w:sz w:val="21"/>
          <w:u w:val="single"/>
        </w:rPr>
        <w:t>“质保期”）为   年，质保期自货物初步验收合格之日起算，质保期内乙方对所供货物实行包修、包换、包维护保养。质保期后提供终身 维修保养服务，具体费用另行商定。</w:t>
      </w:r>
    </w:p>
    <w:p>
      <w:pPr>
        <w:jc w:val="left"/>
      </w:pPr>
      <w:r>
        <w:rPr>
          <w:sz w:val="24"/>
        </w:rPr>
        <w:t>(二)</w:t>
      </w:r>
      <w:r>
        <w:rPr>
          <w:sz w:val="21"/>
          <w:u w:val="single"/>
        </w:rPr>
        <w:t>若国家和</w:t>
      </w:r>
      <w:r>
        <w:rPr>
          <w:sz w:val="21"/>
          <w:u w:val="single"/>
        </w:rPr>
        <w:t>/或生产厂家对本项目所涉及货物的质保期的规定高于本项目的要求，应按国家和/或生产厂家的规定执行。</w:t>
      </w:r>
    </w:p>
    <w:p>
      <w:pPr>
        <w:ind w:firstLine="420"/>
        <w:jc w:val="left"/>
      </w:pPr>
      <w:r>
        <w:rPr>
          <w:sz w:val="21"/>
          <w:u w:val="single"/>
        </w:rPr>
        <w:t>注：具体由乙方在投标文件中承诺。</w:t>
      </w:r>
    </w:p>
    <w:p>
      <w:pPr>
        <w:jc w:val="both"/>
      </w:pPr>
      <w:r>
        <w:rPr>
          <w:b/>
          <w:sz w:val="21"/>
        </w:rPr>
        <w:t>十三、</w:t>
      </w:r>
      <w:r>
        <w:rPr>
          <w:b/>
          <w:sz w:val="21"/>
        </w:rPr>
        <w:t>质量保证</w:t>
      </w:r>
    </w:p>
    <w:p>
      <w:pPr>
        <w:jc w:val="left"/>
      </w:pPr>
      <w:r>
        <w:rPr>
          <w:sz w:val="24"/>
        </w:rPr>
        <w:t>(一)</w:t>
      </w:r>
      <w:r>
        <w:rPr>
          <w:sz w:val="21"/>
          <w:u w:val="single"/>
        </w:rPr>
        <w:t>质保期内，在非人为因素情况下，一切维修换件保养费用和备品备件均由乙方免费提供。</w:t>
      </w:r>
    </w:p>
    <w:p>
      <w:pPr>
        <w:jc w:val="left"/>
      </w:pPr>
      <w:r>
        <w:rPr>
          <w:sz w:val="24"/>
        </w:rPr>
        <w:t>(二)</w:t>
      </w:r>
      <w:r>
        <w:rPr>
          <w:sz w:val="21"/>
          <w:u w:val="single"/>
        </w:rPr>
        <w:t>质保期内，如设备或零部件因非人为因素出现故障而造成短期停用时，则质保期和维修期相应顺延。如停用时间累计超过</w:t>
      </w:r>
      <w:r>
        <w:rPr>
          <w:sz w:val="21"/>
          <w:u w:val="single"/>
        </w:rPr>
        <w:t>20天时，则质保期在状态恢复正常时重新计算或对故障设备予以重新更换。</w:t>
      </w:r>
    </w:p>
    <w:p>
      <w:pPr>
        <w:jc w:val="left"/>
      </w:pPr>
      <w:r>
        <w:rPr>
          <w:sz w:val="24"/>
        </w:rPr>
        <w:t>(三)</w:t>
      </w:r>
      <w:r>
        <w:rPr>
          <w:sz w:val="21"/>
          <w:u w:val="single"/>
        </w:rPr>
        <w:t>任何时候，乙方均不能免除因货物本身的缺陷所应负的责任。</w:t>
      </w:r>
    </w:p>
    <w:p>
      <w:pPr>
        <w:jc w:val="left"/>
      </w:pPr>
      <w:r>
        <w:rPr>
          <w:sz w:val="24"/>
        </w:rPr>
        <w:t>(四)</w:t>
      </w:r>
      <w:r>
        <w:rPr>
          <w:sz w:val="21"/>
          <w:u w:val="single"/>
        </w:rPr>
        <w:t>在质保期内乙方应提供系统升级方面的技术支持服务。</w:t>
      </w:r>
    </w:p>
    <w:p>
      <w:pPr>
        <w:jc w:val="left"/>
      </w:pPr>
      <w:r>
        <w:rPr>
          <w:sz w:val="24"/>
        </w:rPr>
        <w:t>(五)</w:t>
      </w:r>
      <w:r>
        <w:rPr>
          <w:sz w:val="21"/>
          <w:u w:val="single"/>
        </w:rPr>
        <w:t>质保期满前</w:t>
      </w:r>
      <w:r>
        <w:rPr>
          <w:sz w:val="21"/>
          <w:u w:val="single"/>
        </w:rPr>
        <w:t>1个月内，乙方须派技术人员到甲方指定现场对全部货物进行一次全面检修。</w:t>
      </w:r>
    </w:p>
    <w:p>
      <w:pPr>
        <w:jc w:val="both"/>
      </w:pPr>
      <w:r>
        <w:rPr>
          <w:b/>
          <w:sz w:val="21"/>
        </w:rPr>
        <w:t>十四、</w:t>
      </w:r>
      <w:r>
        <w:rPr>
          <w:b/>
          <w:sz w:val="21"/>
        </w:rPr>
        <w:t>售后服务</w:t>
      </w:r>
    </w:p>
    <w:p>
      <w:pPr>
        <w:jc w:val="left"/>
      </w:pPr>
      <w:r>
        <w:rPr>
          <w:sz w:val="21"/>
          <w:u w:val="single"/>
        </w:rPr>
        <w:t>（一）乙方应须承诺为用户提供完善的服务，提供及时、方便、全面、有效的技术支持与售后服务，保证项目建设任务的顺利完成，达到项目建设目标。</w:t>
      </w:r>
    </w:p>
    <w:p>
      <w:pPr>
        <w:jc w:val="left"/>
      </w:pPr>
      <w:r>
        <w:rPr>
          <w:sz w:val="21"/>
          <w:u w:val="single"/>
        </w:rPr>
        <w:t>（二）本项目中所采购的相关设备及配件的安装、集成和调试，均需制造商的技术支持服务。乙方承诺技术方案中所涉及的软件，从验收完毕之日开始计算，提供</w:t>
      </w:r>
      <w:r>
        <w:rPr>
          <w:sz w:val="21"/>
          <w:u w:val="single"/>
        </w:rPr>
        <w:t>3年升级和支持服务，所有费用计入报价总价，不再另行收取。</w:t>
      </w:r>
    </w:p>
    <w:p>
      <w:pPr>
        <w:jc w:val="left"/>
      </w:pPr>
      <w:r>
        <w:rPr>
          <w:sz w:val="21"/>
          <w:u w:val="single"/>
        </w:rPr>
        <w:t>（三）提供</w:t>
      </w:r>
      <w:r>
        <w:rPr>
          <w:sz w:val="21"/>
          <w:u w:val="single"/>
        </w:rPr>
        <w:t>7×24小时电话维护响应服务：若电话中无法解决，4小时内到达现场。如是硬件问题必须48小时内解决，否则需提供不低于使用设备的备件，保证系统的正常运行。</w:t>
      </w:r>
    </w:p>
    <w:p>
      <w:pPr>
        <w:jc w:val="left"/>
      </w:pPr>
      <w:r>
        <w:rPr>
          <w:sz w:val="21"/>
          <w:u w:val="single"/>
        </w:rPr>
        <w:t>（四）保修期内，如用户所购设备各部件发生非人为故障，乙方应上门更换同种品牌不低于原规格型号的新部件。</w:t>
      </w:r>
    </w:p>
    <w:p>
      <w:pPr>
        <w:jc w:val="left"/>
      </w:pPr>
      <w:r>
        <w:rPr>
          <w:sz w:val="21"/>
          <w:u w:val="single"/>
        </w:rPr>
        <w:t>（五）保修期内同一硬件一个月内连续</w:t>
      </w:r>
      <w:r>
        <w:rPr>
          <w:sz w:val="21"/>
          <w:u w:val="single"/>
        </w:rPr>
        <w:t>3次出现同一故障，乙方须无偿更换同一档次设备。</w:t>
      </w:r>
    </w:p>
    <w:p>
      <w:pPr>
        <w:jc w:val="left"/>
      </w:pPr>
      <w:r>
        <w:rPr>
          <w:sz w:val="21"/>
          <w:u w:val="single"/>
        </w:rPr>
        <w:t>（六）所有设备保修服务方式均为乙方上门保修，即由乙方派人员到用户设备使用现场维修，由此产生的一切费用均由乙方承担。所有设备必须在明显位置贴有维修热线电话的标识。乙方必须提出保修期内的维修、维护内容和范围的服务方案（不限于产品、技术、模块、部件和升级等内容）。</w:t>
      </w:r>
    </w:p>
    <w:p>
      <w:pPr>
        <w:jc w:val="left"/>
      </w:pPr>
      <w:r>
        <w:rPr>
          <w:sz w:val="21"/>
        </w:rPr>
        <w:t>（七）搬迁服务</w:t>
      </w:r>
    </w:p>
    <w:p>
      <w:pPr>
        <w:ind w:firstLine="420"/>
        <w:jc w:val="left"/>
      </w:pPr>
      <w:r>
        <w:rPr>
          <w:sz w:val="21"/>
        </w:rPr>
        <w:t>1.质保期内，甲方向乙方提出对设备进行移动或搬迁的，乙方须派人员到用户设备使用现场指导移动及配合搬迁工作，并及时进行安装调试，确保设备以最快的速度达到最佳运行状态，费用均包含在合同金额中。</w:t>
      </w:r>
    </w:p>
    <w:p>
      <w:pPr>
        <w:ind w:firstLine="420"/>
        <w:jc w:val="left"/>
      </w:pPr>
      <w:r>
        <w:rPr>
          <w:sz w:val="21"/>
        </w:rPr>
        <w:t>2.质保期后，甲方向乙方提出对设备进行移动或搬迁的，乙方须派人员到用户设备使用现场指导移动及配合搬迁工作，并提供二次安装调试服务，确保设备以最快的速度达到最佳运行状态，设备移动或搬迁过程中产生的服务费、包装费、人工费、运输费、装卸费等双方另行协商约定。</w:t>
      </w:r>
    </w:p>
    <w:p>
      <w:pPr>
        <w:numPr>
          <w:ilvl w:val="0"/>
          <w:numId w:val="1"/>
        </w:numPr>
      </w:pPr>
    </w:p>
    <w:p>
      <w:pPr>
        <w:numPr>
          <w:ilvl w:val="1"/>
          <w:numId w:val="1"/>
        </w:numPr>
        <w:jc w:val="left"/>
      </w:pPr>
      <w:r>
        <w:rPr>
          <w:sz w:val="21"/>
          <w:u w:val="single"/>
        </w:rPr>
        <w:t>乙方售后服务联系方式：</w:t>
      </w:r>
    </w:p>
    <w:p>
      <w:pPr>
        <w:ind w:firstLine="630"/>
        <w:jc w:val="left"/>
      </w:pPr>
      <w:r>
        <w:rPr>
          <w:sz w:val="21"/>
        </w:rPr>
        <w:t>联系人</w:t>
      </w:r>
      <w:r>
        <w:rPr>
          <w:sz w:val="21"/>
        </w:rPr>
        <w:t>1</w:t>
      </w:r>
      <w:r>
        <w:rPr>
          <w:sz w:val="21"/>
          <w:u w:val="single"/>
        </w:rPr>
        <w:t>：</w:t>
      </w:r>
      <w:r>
        <w:rPr>
          <w:sz w:val="21"/>
          <w:u w:val="single"/>
        </w:rPr>
        <w:t xml:space="preserve">     </w:t>
      </w:r>
      <w:r>
        <w:rPr>
          <w:sz w:val="21"/>
        </w:rPr>
        <w:t>，联系电话</w:t>
      </w:r>
      <w:r>
        <w:rPr>
          <w:sz w:val="21"/>
          <w:u w:val="single"/>
        </w:rPr>
        <w:t>：</w:t>
      </w:r>
      <w:r>
        <w:rPr>
          <w:sz w:val="21"/>
          <w:u w:val="single"/>
        </w:rPr>
        <w:t xml:space="preserve">       </w:t>
      </w:r>
      <w:r>
        <w:rPr>
          <w:sz w:val="21"/>
        </w:rPr>
        <w:t>，手机</w:t>
      </w:r>
      <w:r>
        <w:rPr>
          <w:sz w:val="21"/>
          <w:u w:val="single"/>
        </w:rPr>
        <w:t>：</w:t>
      </w:r>
      <w:r>
        <w:rPr>
          <w:sz w:val="21"/>
          <w:u w:val="single"/>
        </w:rPr>
        <w:t xml:space="preserve">      </w:t>
      </w:r>
      <w:r>
        <w:rPr>
          <w:sz w:val="21"/>
        </w:rPr>
        <w:t>；</w:t>
      </w:r>
    </w:p>
    <w:p>
      <w:pPr>
        <w:ind w:firstLine="630"/>
        <w:jc w:val="left"/>
      </w:pPr>
      <w:r>
        <w:rPr>
          <w:sz w:val="21"/>
        </w:rPr>
        <w:t>联系人</w:t>
      </w:r>
      <w:r>
        <w:rPr>
          <w:sz w:val="21"/>
        </w:rPr>
        <w:t>2</w:t>
      </w:r>
      <w:r>
        <w:rPr>
          <w:sz w:val="21"/>
          <w:u w:val="single"/>
        </w:rPr>
        <w:t>：</w:t>
      </w:r>
      <w:r>
        <w:rPr>
          <w:sz w:val="21"/>
          <w:u w:val="single"/>
        </w:rPr>
        <w:t xml:space="preserve">     </w:t>
      </w:r>
      <w:r>
        <w:rPr>
          <w:sz w:val="21"/>
        </w:rPr>
        <w:t>，联系电话</w:t>
      </w:r>
      <w:r>
        <w:rPr>
          <w:sz w:val="21"/>
          <w:u w:val="single"/>
        </w:rPr>
        <w:t>：</w:t>
      </w:r>
      <w:r>
        <w:rPr>
          <w:sz w:val="21"/>
          <w:u w:val="single"/>
        </w:rPr>
        <w:t xml:space="preserve">       </w:t>
      </w:r>
      <w:r>
        <w:rPr>
          <w:sz w:val="21"/>
        </w:rPr>
        <w:t>，手机</w:t>
      </w:r>
      <w:r>
        <w:rPr>
          <w:sz w:val="21"/>
          <w:u w:val="single"/>
        </w:rPr>
        <w:t>：</w:t>
      </w:r>
      <w:r>
        <w:rPr>
          <w:sz w:val="21"/>
          <w:u w:val="single"/>
        </w:rPr>
        <w:t xml:space="preserve">      </w:t>
      </w:r>
      <w:r>
        <w:rPr>
          <w:sz w:val="21"/>
        </w:rPr>
        <w:t>。</w:t>
      </w:r>
    </w:p>
    <w:p>
      <w:pPr>
        <w:jc w:val="both"/>
      </w:pPr>
      <w:r>
        <w:rPr>
          <w:b/>
          <w:sz w:val="21"/>
        </w:rPr>
        <w:t>十五、</w:t>
      </w:r>
      <w:r>
        <w:rPr>
          <w:b/>
          <w:sz w:val="21"/>
        </w:rPr>
        <w:t>保密及知识产权</w:t>
      </w:r>
    </w:p>
    <w:p>
      <w:pPr>
        <w:jc w:val="left"/>
      </w:pPr>
      <w:r>
        <w:rPr>
          <w:sz w:val="24"/>
        </w:rPr>
        <w:t>(一)</w:t>
      </w:r>
      <w:r>
        <w:rPr>
          <w:sz w:val="21"/>
          <w:u w:val="single"/>
        </w:rPr>
        <w:t>保密要求</w:t>
      </w:r>
    </w:p>
    <w:p>
      <w:pPr>
        <w:ind w:firstLine="420"/>
        <w:jc w:val="left"/>
      </w:pPr>
      <w:r>
        <w:rPr>
          <w:sz w:val="21"/>
          <w:u w:val="single"/>
        </w:rPr>
        <w:t>1.在项目建设中涉及到的工程项目，应当签订保密条款或者另行签订保密协议，内容应包括：设计的内容和范围；应具备的保密条件及权限；承担的保密责任；保密纪律和违纪处罚；保密项目的有效时间等。</w:t>
      </w:r>
    </w:p>
    <w:p>
      <w:pPr>
        <w:ind w:firstLine="420"/>
        <w:jc w:val="left"/>
      </w:pPr>
      <w:r>
        <w:rPr>
          <w:sz w:val="21"/>
          <w:u w:val="single"/>
        </w:rPr>
        <w:t>2.合同双方保密的内容、期限和泄漏秘密应承担的责任，双方可以约定，无论合同是否发生变更、解除、终止，本条款均有效。</w:t>
      </w:r>
    </w:p>
    <w:p>
      <w:pPr>
        <w:ind w:firstLine="420"/>
        <w:jc w:val="left"/>
      </w:pPr>
      <w:r>
        <w:rPr>
          <w:sz w:val="21"/>
          <w:u w:val="single"/>
        </w:rPr>
        <w:t>3.甲方提供给乙方的资料不得向第三方泄密。一旦发生由乙方造成的资料外泄，按《保密法》等追究其责任。</w:t>
      </w:r>
    </w:p>
    <w:p>
      <w:pPr>
        <w:jc w:val="left"/>
      </w:pPr>
      <w:r>
        <w:rPr>
          <w:sz w:val="24"/>
        </w:rPr>
        <w:t>(二)</w:t>
      </w:r>
      <w:r>
        <w:rPr>
          <w:sz w:val="21"/>
          <w:u w:val="single"/>
        </w:rPr>
        <w:t>知识产权要求</w:t>
      </w:r>
    </w:p>
    <w:p>
      <w:pPr>
        <w:ind w:firstLine="420"/>
        <w:jc w:val="left"/>
      </w:pPr>
      <w:r>
        <w:rPr>
          <w:sz w:val="21"/>
          <w:u w:val="single"/>
        </w:rPr>
        <w:t>1.乙方应保证，甲方在中华人民共和国使用该货物或货物的任何一部分时，如受第三方提出的侵犯其专利权、商标权或其他知识产权的起诉，由乙方承担一切责任。</w:t>
      </w:r>
    </w:p>
    <w:p>
      <w:pPr>
        <w:ind w:firstLine="420"/>
        <w:jc w:val="left"/>
      </w:pPr>
      <w:r>
        <w:rPr>
          <w:sz w:val="21"/>
          <w:u w:val="single"/>
        </w:rPr>
        <w:t>2.乙方为执行本合同而提供的技术资料、软件的使用权归甲方所有。</w:t>
      </w:r>
    </w:p>
    <w:p>
      <w:pPr>
        <w:jc w:val="both"/>
      </w:pPr>
      <w:r>
        <w:rPr>
          <w:b/>
          <w:sz w:val="21"/>
        </w:rPr>
        <w:t>十六、</w:t>
      </w:r>
      <w:r>
        <w:rPr>
          <w:b/>
          <w:sz w:val="21"/>
        </w:rPr>
        <w:t>风险及责任的承担</w:t>
      </w:r>
    </w:p>
    <w:p>
      <w:pPr>
        <w:jc w:val="left"/>
      </w:pPr>
      <w:r>
        <w:rPr>
          <w:sz w:val="24"/>
        </w:rPr>
        <w:t>(一)</w:t>
      </w:r>
      <w:r>
        <w:rPr>
          <w:sz w:val="21"/>
        </w:rPr>
        <w:t>履行本合同的过程中，确因在现有水平和条件下难以克服的技术困难，导致本项目部分或全部失败的，所造成的损失及责任，由乙方承担。乙方交付的货物、工程、</w:t>
      </w:r>
      <w:r>
        <w:rPr>
          <w:sz w:val="21"/>
        </w:rPr>
        <w:t>提供的服务不符合招标文件、投标文件或本合同规定的，甲方有权拒收并单方终止履行本合同，甲方已支付的款项，乙方须全额退还，并且乙方须向甲方支付本合同总价</w:t>
      </w:r>
      <w:r>
        <w:rPr>
          <w:sz w:val="21"/>
        </w:rPr>
        <w:t>10%的违约金。</w:t>
      </w:r>
    </w:p>
    <w:p>
      <w:pPr>
        <w:jc w:val="left"/>
      </w:pPr>
      <w:r>
        <w:rPr>
          <w:sz w:val="24"/>
        </w:rPr>
        <w:t>(</w:t>
      </w:r>
      <w:r>
        <w:rPr>
          <w:sz w:val="24"/>
        </w:rPr>
        <w:t>二</w:t>
      </w:r>
      <w:r>
        <w:rPr>
          <w:sz w:val="24"/>
        </w:rPr>
        <w:t>)</w:t>
      </w:r>
      <w:r>
        <w:rPr>
          <w:sz w:val="21"/>
        </w:rPr>
        <w:t>若乙方未能按时完成货物交付，或逾期未能通过验收的，自超期之日起，每日加收合同总价万分之二的违约金；若本项目未能按照工期的约定通过验收且累计超期</w:t>
      </w:r>
      <w:r>
        <w:rPr>
          <w:sz w:val="21"/>
        </w:rPr>
        <w:t>15日以上的，甲方有权单方终止履行本合同，甲方已支付的款项，乙方须全额退还。</w:t>
      </w:r>
    </w:p>
    <w:p>
      <w:pPr>
        <w:jc w:val="left"/>
      </w:pPr>
      <w:r>
        <w:rPr>
          <w:sz w:val="24"/>
        </w:rPr>
        <w:t>(</w:t>
      </w:r>
      <w:r>
        <w:rPr>
          <w:sz w:val="24"/>
        </w:rPr>
        <w:t>三</w:t>
      </w:r>
      <w:r>
        <w:rPr>
          <w:sz w:val="24"/>
        </w:rPr>
        <w:t>)</w:t>
      </w:r>
      <w:r>
        <w:rPr>
          <w:sz w:val="21"/>
        </w:rPr>
        <w:t>质保期内，乙方未能按合同要求履行合同义务时，视为违约，从违约之日起每日按合同总价万分之二的比例向甲方支付违约金。</w:t>
      </w:r>
    </w:p>
    <w:p>
      <w:pPr>
        <w:jc w:val="left"/>
      </w:pPr>
      <w:r>
        <w:rPr>
          <w:sz w:val="24"/>
        </w:rPr>
        <w:t>(四)</w:t>
      </w:r>
      <w:r>
        <w:rPr>
          <w:sz w:val="21"/>
        </w:rPr>
        <w:t>各方应保证向对方提供的资料和数据不侵犯第三方的知识产权或其他权利，因一方提供的资料虚假、错误、或侵犯第三方权利而造成另一方因此遭受任何索赔、诉讼、仲裁及损失的，该资料提供方须承担全部责任与费用（包括但不限于另一方为此而支出的赔偿金、补偿金、诉讼费、仲裁费、律师费、保全费、财产保全担保费或保险费、评估费及其他为维护自身权益而支出的费用）。</w:t>
      </w:r>
    </w:p>
    <w:p>
      <w:pPr>
        <w:jc w:val="left"/>
      </w:pPr>
      <w:r>
        <w:rPr>
          <w:sz w:val="24"/>
        </w:rPr>
        <w:t>(五)</w:t>
      </w:r>
      <w:r>
        <w:rPr>
          <w:sz w:val="21"/>
        </w:rPr>
        <w:t>本合同任何一方若违反本合同约定的义务和承诺，给其他方造成损失的，应当承担赔偿责任。</w:t>
      </w:r>
    </w:p>
    <w:p>
      <w:pPr>
        <w:jc w:val="both"/>
      </w:pPr>
      <w:r>
        <w:rPr>
          <w:b/>
          <w:sz w:val="21"/>
        </w:rPr>
        <w:t>十七、</w:t>
      </w:r>
      <w:r>
        <w:rPr>
          <w:b/>
          <w:sz w:val="21"/>
        </w:rPr>
        <w:t>提出异议的时间和方法</w:t>
      </w:r>
    </w:p>
    <w:p>
      <w:pPr>
        <w:jc w:val="left"/>
      </w:pPr>
      <w:r>
        <w:rPr>
          <w:sz w:val="24"/>
        </w:rPr>
        <w:t>(一)</w:t>
      </w:r>
      <w:r>
        <w:rPr>
          <w:sz w:val="21"/>
        </w:rPr>
        <w:t>甲方在验收后</w:t>
      </w:r>
      <w:r>
        <w:rPr>
          <w:sz w:val="21"/>
        </w:rPr>
        <w:t>100天内如对货物的型号、规格、质量有异议时，应在妥善保管货物的同时，即向乙方提出书面异议。</w:t>
      </w:r>
    </w:p>
    <w:p>
      <w:pPr>
        <w:jc w:val="left"/>
      </w:pPr>
      <w:r>
        <w:rPr>
          <w:sz w:val="24"/>
        </w:rPr>
        <w:t>(二)</w:t>
      </w:r>
      <w:r>
        <w:rPr>
          <w:sz w:val="21"/>
        </w:rPr>
        <w:t>乙方在接到甲方书面异议后，应在</w:t>
      </w:r>
      <w:r>
        <w:rPr>
          <w:sz w:val="21"/>
        </w:rPr>
        <w:t>3天内负责处理并函复甲方处理情况，否则，即视为默认甲方提出的异议和处理意见。</w:t>
      </w:r>
    </w:p>
    <w:p>
      <w:pPr>
        <w:jc w:val="left"/>
      </w:pPr>
      <w:r>
        <w:rPr>
          <w:sz w:val="24"/>
        </w:rPr>
        <w:t>(三)</w:t>
      </w:r>
      <w:r>
        <w:rPr>
          <w:sz w:val="21"/>
        </w:rPr>
        <w:t>甲方因违章操作、保管、保养不善等人为造成货物损毁，所提出的异议乙方有权不予接受。</w:t>
      </w:r>
    </w:p>
    <w:p>
      <w:pPr>
        <w:jc w:val="both"/>
      </w:pPr>
      <w:r>
        <w:rPr>
          <w:b/>
          <w:sz w:val="21"/>
        </w:rPr>
        <w:t>十八、</w:t>
      </w:r>
      <w:r>
        <w:rPr>
          <w:b/>
          <w:sz w:val="21"/>
        </w:rPr>
        <w:t>合同生效、变更与终止</w:t>
      </w:r>
    </w:p>
    <w:p>
      <w:pPr>
        <w:jc w:val="left"/>
      </w:pPr>
      <w:r>
        <w:rPr>
          <w:sz w:val="24"/>
        </w:rPr>
        <w:t>(一)</w:t>
      </w:r>
      <w:r>
        <w:rPr>
          <w:sz w:val="21"/>
        </w:rPr>
        <w:t>在项目实施过程中，如出现内容的变更，由当事各方协商解决。</w:t>
      </w:r>
    </w:p>
    <w:p>
      <w:pPr>
        <w:jc w:val="left"/>
      </w:pPr>
      <w:r>
        <w:rPr>
          <w:sz w:val="24"/>
        </w:rPr>
        <w:t>(二)</w:t>
      </w:r>
      <w:r>
        <w:rPr>
          <w:sz w:val="21"/>
        </w:rPr>
        <w:t>本合同有效期自生效之日起，至乙方履行完毕全部合同义务止。</w:t>
      </w:r>
    </w:p>
    <w:p>
      <w:pPr>
        <w:jc w:val="left"/>
      </w:pPr>
      <w:r>
        <w:rPr>
          <w:sz w:val="24"/>
        </w:rPr>
        <w:t>(三)</w:t>
      </w:r>
      <w:r>
        <w:rPr>
          <w:sz w:val="21"/>
        </w:rPr>
        <w:t>除本合同约定的一方当事人享有单方解除或终止权的事由外，当事人一方要求变更或解除合同时，应当在</w:t>
      </w:r>
      <w:r>
        <w:rPr>
          <w:sz w:val="21"/>
        </w:rPr>
        <w:t>20个工作日前书面通知对方并征得对方书面同意，双方以书面形式变更或解除本合同。因解除合同使其他方遭受损失的，除依法可以免除的责任外，应由责任方负责赔偿。</w:t>
      </w:r>
    </w:p>
    <w:p>
      <w:pPr>
        <w:jc w:val="both"/>
      </w:pPr>
      <w:r>
        <w:rPr>
          <w:b/>
          <w:sz w:val="21"/>
        </w:rPr>
        <w:t>十九、</w:t>
      </w:r>
      <w:r>
        <w:rPr>
          <w:b/>
          <w:sz w:val="21"/>
        </w:rPr>
        <w:t>不可抗力</w:t>
      </w:r>
    </w:p>
    <w:p>
      <w:pPr>
        <w:jc w:val="left"/>
      </w:pPr>
      <w:r>
        <w:rPr>
          <w:sz w:val="24"/>
        </w:rPr>
        <w:t>(一)</w:t>
      </w:r>
      <w:r>
        <w:rPr>
          <w:sz w:val="21"/>
        </w:rPr>
        <w:t>由于地震、台风、水灾、战争、以及其它不能预见并且对其发生和后果不能防止或避免的不可抗力事故，致使一方当事人不能履行或不能完全履行本合同时，该方当事人对另一方的损失不承担责任。但遇有上述不可抗力事件的一方，应立即将事件情况书面通知另一方，并应于</w:t>
      </w:r>
      <w:r>
        <w:rPr>
          <w:sz w:val="21"/>
        </w:rPr>
        <w:t>15日内提出证明事件详情及本合同不能履行或不能完全履行、或需要延期履行的理由的政府部门开具的有效证明文件。按照不可抗力事件对本合同履行的影响程度，由双方协商决定是否继续履行本合同或终止本合同。</w:t>
      </w:r>
    </w:p>
    <w:p>
      <w:pPr>
        <w:jc w:val="both"/>
      </w:pPr>
      <w:r>
        <w:rPr>
          <w:b/>
          <w:sz w:val="21"/>
        </w:rPr>
        <w:t>二十、</w:t>
      </w:r>
      <w:r>
        <w:rPr>
          <w:b/>
          <w:sz w:val="21"/>
        </w:rPr>
        <w:t>争议解决</w:t>
      </w:r>
    </w:p>
    <w:p>
      <w:pPr>
        <w:jc w:val="left"/>
      </w:pPr>
      <w:r>
        <w:rPr>
          <w:sz w:val="24"/>
        </w:rPr>
        <w:t>(一)</w:t>
      </w:r>
      <w:r>
        <w:rPr>
          <w:sz w:val="21"/>
        </w:rPr>
        <w:t>凡因履行本合同而引起的一切争议或与本合同有关的争议，应由当事各方通过友好协商解决。协商不成时，当事各方同意提交</w:t>
      </w:r>
      <w:r>
        <w:rPr>
          <w:sz w:val="21"/>
          <w:u w:val="single"/>
        </w:rPr>
        <w:t>甲方住所地人民法院</w:t>
      </w:r>
      <w:r>
        <w:rPr>
          <w:sz w:val="21"/>
        </w:rPr>
        <w:t>进行诉讼。</w:t>
      </w:r>
    </w:p>
    <w:p>
      <w:pPr>
        <w:jc w:val="both"/>
      </w:pPr>
      <w:r>
        <w:rPr>
          <w:b/>
          <w:sz w:val="21"/>
        </w:rPr>
        <w:t>二十一、</w:t>
      </w:r>
      <w:r>
        <w:rPr>
          <w:b/>
          <w:sz w:val="21"/>
        </w:rPr>
        <w:t>税费</w:t>
      </w:r>
    </w:p>
    <w:p>
      <w:pPr>
        <w:jc w:val="left"/>
      </w:pPr>
      <w:r>
        <w:rPr>
          <w:sz w:val="24"/>
        </w:rPr>
        <w:t>(一)</w:t>
      </w:r>
      <w:r>
        <w:rPr>
          <w:sz w:val="21"/>
        </w:rPr>
        <w:t>中国政府根据现行税法所征收的一切税费均由各缴税责任方独立承担。在中国境外发生的与本合同相关的一切税费及不可预见费均由乙方负担。</w:t>
      </w:r>
    </w:p>
    <w:p>
      <w:pPr>
        <w:jc w:val="both"/>
      </w:pPr>
      <w:r>
        <w:rPr>
          <w:b/>
          <w:sz w:val="21"/>
        </w:rPr>
        <w:t>二十二、</w:t>
      </w:r>
      <w:r>
        <w:rPr>
          <w:b/>
          <w:sz w:val="21"/>
        </w:rPr>
        <w:t>关于政府采购质押融资贷款</w:t>
      </w:r>
    </w:p>
    <w:p>
      <w:pPr>
        <w:jc w:val="both"/>
      </w:pPr>
      <w:r>
        <w:rPr>
          <w:sz w:val="21"/>
        </w:rPr>
        <w:t>（一）乙方是否已申请政府采购质押融资贷款（在</w:t>
      </w:r>
      <w:r>
        <w:rPr>
          <w:sz w:val="21"/>
        </w:rPr>
        <w:t>□打√表示）：□是□否。</w:t>
      </w:r>
    </w:p>
    <w:p>
      <w:pPr>
        <w:jc w:val="both"/>
      </w:pPr>
      <w:r>
        <w:rPr>
          <w:sz w:val="21"/>
        </w:rPr>
        <w:t>融资银行及联系人、联系方式：</w:t>
      </w:r>
      <w:r>
        <w:rPr>
          <w:sz w:val="21"/>
        </w:rPr>
        <w:t>_________________________________。</w:t>
      </w:r>
    </w:p>
    <w:p>
      <w:pPr>
        <w:jc w:val="both"/>
      </w:pPr>
      <w:r>
        <w:rPr>
          <w:sz w:val="21"/>
        </w:rPr>
        <w:t>（二）若乙方已申请政府采购质押融资贷款，其在本合同中登记的银行账号为融资银行的唯一收款账号，未获得融资银行同意，乙方不得变更收款账号。</w:t>
      </w:r>
    </w:p>
    <w:p>
      <w:pPr>
        <w:jc w:val="both"/>
      </w:pPr>
      <w:r>
        <w:rPr>
          <w:b/>
          <w:sz w:val="21"/>
        </w:rPr>
        <w:t>二十三、</w:t>
      </w:r>
      <w:r>
        <w:rPr>
          <w:b/>
          <w:sz w:val="21"/>
        </w:rPr>
        <w:t>其它</w:t>
      </w:r>
    </w:p>
    <w:p>
      <w:pPr>
        <w:jc w:val="left"/>
      </w:pPr>
      <w:r>
        <w:rPr>
          <w:sz w:val="24"/>
        </w:rPr>
        <w:t>(一)</w:t>
      </w:r>
      <w:r>
        <w:rPr>
          <w:sz w:val="21"/>
        </w:rPr>
        <w:t>本项目合同由下列文件组成，均为本合同不可分割的部分，下列文件的优先解释顺序如下：</w:t>
      </w:r>
    </w:p>
    <w:p>
      <w:pPr>
        <w:jc w:val="left"/>
      </w:pPr>
      <w:r>
        <w:rPr>
          <w:sz w:val="21"/>
        </w:rPr>
        <w:t>1.</w:t>
      </w:r>
      <w:r>
        <w:rPr>
          <w:sz w:val="21"/>
        </w:rPr>
        <w:t>本合同执行期间甲、乙双方签署确认的文件（包括会议纪要、补充协议、往来信函及修正文件）；</w:t>
      </w:r>
    </w:p>
    <w:p>
      <w:pPr>
        <w:jc w:val="left"/>
      </w:pPr>
      <w:r>
        <w:rPr>
          <w:sz w:val="21"/>
        </w:rPr>
        <w:t>2.</w:t>
      </w:r>
      <w:r>
        <w:rPr>
          <w:sz w:val="21"/>
        </w:rPr>
        <w:t>本采购合同</w:t>
      </w:r>
      <w:r>
        <w:rPr>
          <w:sz w:val="21"/>
        </w:rPr>
        <w:t>；</w:t>
      </w:r>
    </w:p>
    <w:p>
      <w:pPr>
        <w:jc w:val="left"/>
      </w:pPr>
      <w:r>
        <w:rPr>
          <w:sz w:val="21"/>
        </w:rPr>
        <w:t>3.</w:t>
      </w:r>
      <w:r>
        <w:rPr>
          <w:sz w:val="21"/>
        </w:rPr>
        <w:t>中标通知书；</w:t>
      </w:r>
    </w:p>
    <w:p>
      <w:pPr>
        <w:jc w:val="left"/>
      </w:pPr>
      <w:r>
        <w:rPr>
          <w:sz w:val="21"/>
        </w:rPr>
        <w:t>4.</w:t>
      </w:r>
      <w:r>
        <w:rPr>
          <w:sz w:val="21"/>
        </w:rPr>
        <w:t>投标文件及其相关承诺附件（含投标文件澄清）；</w:t>
      </w:r>
    </w:p>
    <w:p>
      <w:pPr>
        <w:jc w:val="left"/>
      </w:pPr>
      <w:r>
        <w:rPr>
          <w:sz w:val="21"/>
        </w:rPr>
        <w:t>5.</w:t>
      </w:r>
      <w:r>
        <w:rPr>
          <w:sz w:val="21"/>
        </w:rPr>
        <w:t>招标文件及答疑补遗文件（含招标文件澄清或修正内容、答疑会议纪要等）；</w:t>
      </w:r>
    </w:p>
    <w:p>
      <w:pPr>
        <w:jc w:val="left"/>
      </w:pPr>
      <w:r>
        <w:rPr>
          <w:sz w:val="21"/>
        </w:rPr>
        <w:t>6.</w:t>
      </w:r>
      <w:r>
        <w:rPr>
          <w:sz w:val="21"/>
        </w:rPr>
        <w:t>标准、规范及有关技术文件；</w:t>
      </w:r>
    </w:p>
    <w:p>
      <w:pPr>
        <w:jc w:val="left"/>
      </w:pPr>
      <w:r>
        <w:rPr>
          <w:sz w:val="21"/>
        </w:rPr>
        <w:t>7.</w:t>
      </w:r>
      <w:r>
        <w:rPr>
          <w:sz w:val="21"/>
        </w:rPr>
        <w:t>组成合同的其他文件。</w:t>
      </w:r>
    </w:p>
    <w:p>
      <w:pPr>
        <w:jc w:val="left"/>
      </w:pPr>
      <w:r>
        <w:rPr>
          <w:b/>
          <w:sz w:val="21"/>
        </w:rPr>
        <w:t>注：</w:t>
      </w:r>
      <w:r>
        <w:rPr>
          <w:sz w:val="21"/>
        </w:rPr>
        <w:t>如乙方在投标文件及其相关承诺附件中作出有比招标文件及答疑补遗文件和本合同更有利于甲方的响应（该是否有利于甲方的解释权双方同意最终归甲方所有），则乙方投标文件及其相关承诺附件中更有利于甲方的相关条款内容的解释顺序优于招标文件及答疑补遗文件和本合同，乙方须按这些响应承诺履行。</w:t>
      </w:r>
    </w:p>
    <w:p>
      <w:pPr>
        <w:jc w:val="left"/>
      </w:pPr>
      <w:r>
        <w:rPr>
          <w:sz w:val="24"/>
        </w:rPr>
        <w:t>(二)</w:t>
      </w:r>
      <w:r>
        <w:rPr>
          <w:sz w:val="21"/>
        </w:rPr>
        <w:t>所有经双方签署确认的文件（包括会议纪要、补充协议、变更协议等）、招标文件、投标文件和响应承诺文件、合同附件及《中标通知书》均为本合同不可分割的有效组成部分，与本合同具有同等的法律效力和履约义务，其缔约生效日期为有效签署或盖章确认之日期。</w:t>
      </w:r>
    </w:p>
    <w:p>
      <w:pPr>
        <w:jc w:val="left"/>
      </w:pPr>
      <w:r>
        <w:rPr>
          <w:sz w:val="24"/>
        </w:rPr>
        <w:t>(三)</w:t>
      </w:r>
      <w:r>
        <w:rPr>
          <w:sz w:val="21"/>
        </w:rPr>
        <w:t>乙方在合同服务期内，自费办理派驻到项目所在地人员人身和自备财产的有关保险，保险时间应随服务时间的延长而顺延，并在出险后自行办理索赔。如果乙方不办理上述保险，则应对有关风险及后果自负其责。</w:t>
      </w:r>
    </w:p>
    <w:p>
      <w:pPr>
        <w:jc w:val="left"/>
      </w:pPr>
      <w:r>
        <w:rPr>
          <w:sz w:val="24"/>
        </w:rPr>
        <w:t>(四)</w:t>
      </w:r>
      <w:r>
        <w:rPr>
          <w:sz w:val="21"/>
        </w:rPr>
        <w:t>未经对方的书面同意，无论甲方或乙方均不得转让本合同约定的权利和义务。</w:t>
      </w:r>
    </w:p>
    <w:p>
      <w:pPr>
        <w:jc w:val="left"/>
      </w:pPr>
      <w:r>
        <w:rPr>
          <w:sz w:val="24"/>
        </w:rPr>
        <w:t>(五)</w:t>
      </w:r>
      <w:r>
        <w:rPr>
          <w:sz w:val="21"/>
        </w:rPr>
        <w:t>乙方按照本项目招标文件要求和投标文件承诺向甲方提交成果（以下统称</w:t>
      </w:r>
      <w:r>
        <w:rPr>
          <w:sz w:val="21"/>
        </w:rPr>
        <w:t>“工作成果”）。受制于以下条款，乙方所提交的全部工作成果的所有权及使用权归甲方所有。甲方有权使用所有成果的权利。</w:t>
      </w:r>
    </w:p>
    <w:p>
      <w:pPr>
        <w:jc w:val="left"/>
      </w:pPr>
      <w:r>
        <w:rPr>
          <w:sz w:val="24"/>
        </w:rPr>
        <w:t>(六)</w:t>
      </w:r>
      <w:r>
        <w:rPr>
          <w:sz w:val="21"/>
        </w:rPr>
        <w:t>未经甲方书面同意，乙方不得将甲方提供的基础资料用作与本项目无关的任何其他用途。未经甲方同意，乙方不得将工作成果自行使用或向第三方转让、泄露。如发生以上情况，甲方有权索赔。</w:t>
      </w:r>
    </w:p>
    <w:p>
      <w:pPr>
        <w:jc w:val="left"/>
      </w:pPr>
      <w:r>
        <w:rPr>
          <w:sz w:val="24"/>
        </w:rPr>
        <w:t>(七)</w:t>
      </w:r>
      <w:r>
        <w:rPr>
          <w:sz w:val="21"/>
        </w:rPr>
        <w:t>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本合同终止后，双方仍负有上述保密义务。</w:t>
      </w:r>
    </w:p>
    <w:p>
      <w:pPr>
        <w:jc w:val="left"/>
      </w:pPr>
      <w:r>
        <w:rPr>
          <w:sz w:val="24"/>
        </w:rPr>
        <w:t>(八)</w:t>
      </w:r>
      <w:r>
        <w:rPr>
          <w:sz w:val="21"/>
        </w:rPr>
        <w:t>本合同未尽事宜，合同各方另行商定，必要时签定补充合同协议。补充协议经合同各方签字盖章后作为本合同补充文件。</w:t>
      </w:r>
    </w:p>
    <w:p>
      <w:pPr>
        <w:jc w:val="left"/>
      </w:pPr>
      <w:r>
        <w:rPr>
          <w:sz w:val="24"/>
        </w:rPr>
        <w:t>(九)</w:t>
      </w:r>
      <w:r>
        <w:rPr>
          <w:sz w:val="21"/>
        </w:rPr>
        <w:t>甲、乙双方法定代表人或授权代表在合同协议书签字，并分别加盖各单位的公章，并经见证单位见证后合同生效。</w:t>
      </w:r>
    </w:p>
    <w:p>
      <w:pPr>
        <w:jc w:val="left"/>
      </w:pPr>
      <w:r>
        <w:rPr>
          <w:sz w:val="24"/>
        </w:rPr>
        <w:t>(十)</w:t>
      </w:r>
      <w:r>
        <w:rPr>
          <w:sz w:val="21"/>
        </w:rPr>
        <w:t>本合同壹式份，甲方执份，乙方执份，见证单位执</w:t>
      </w:r>
      <w:r>
        <w:rPr>
          <w:sz w:val="21"/>
          <w:u w:val="single"/>
        </w:rPr>
        <w:t xml:space="preserve"> </w:t>
      </w:r>
      <w:r>
        <w:rPr>
          <w:sz w:val="21"/>
          <w:u w:val="single"/>
        </w:rPr>
        <w:t>壹</w:t>
      </w:r>
      <w:r>
        <w:rPr>
          <w:sz w:val="21"/>
        </w:rPr>
        <w:t>份。</w:t>
      </w:r>
    </w:p>
    <w:p>
      <w:pPr>
        <w:jc w:val="both"/>
      </w:pPr>
    </w:p>
    <w:p>
      <w:pPr>
        <w:jc w:val="both"/>
      </w:pPr>
      <w:r>
        <w:rPr>
          <w:b/>
          <w:sz w:val="21"/>
        </w:rPr>
        <w:t>（完）</w:t>
      </w:r>
    </w:p>
    <w:p>
      <w:pPr>
        <w:jc w:val="both"/>
      </w:pPr>
    </w:p>
    <w:p/>
    <w:p/>
    <w:p>
      <w:r>
        <w:rPr/>
        <w:t xml:space="preserve"> </w:t>
      </w:r>
    </w:p>
    <w:p>
      <w:pPr>
        <w:jc w:val="both"/>
      </w:pPr>
      <w:r>
        <w:rPr>
          <w:b/>
          <w:sz w:val="21"/>
        </w:rPr>
        <w:t>（以下无正文</w:t>
      </w:r>
      <w:r>
        <w:rPr>
          <w:b/>
          <w:sz w:val="21"/>
        </w:rPr>
        <w:t>）</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b/>
                <w:sz w:val="21"/>
              </w:rPr>
              <w:t>甲方（盖章）：</w:t>
            </w:r>
          </w:p>
          <w:p>
            <w:pPr>
              <w:jc w:val="both"/>
            </w:pPr>
          </w:p>
          <w:p>
            <w:pPr>
              <w:jc w:val="both"/>
            </w:pPr>
            <w:r>
              <w:rPr>
                <w:sz w:val="21"/>
              </w:rPr>
              <w:t>代表：</w:t>
            </w:r>
          </w:p>
          <w:p>
            <w:pPr>
              <w:jc w:val="both"/>
            </w:pPr>
            <w:r>
              <w:rPr>
                <w:sz w:val="21"/>
              </w:rPr>
              <w:t>地址：</w:t>
            </w:r>
          </w:p>
          <w:p>
            <w:pPr>
              <w:jc w:val="both"/>
            </w:pPr>
            <w:r>
              <w:rPr>
                <w:sz w:val="21"/>
              </w:rPr>
              <w:t>电话：</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53"/>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p>
          <w:p>
            <w:pPr>
              <w:jc w:val="both"/>
            </w:pPr>
            <w:r>
              <w:rPr>
                <w:sz w:val="21"/>
              </w:rPr>
              <w:t>代表：</w:t>
            </w:r>
          </w:p>
          <w:p>
            <w:pPr>
              <w:jc w:val="both"/>
            </w:pPr>
            <w:r>
              <w:rPr>
                <w:sz w:val="21"/>
              </w:rPr>
              <w:t>地址：</w:t>
            </w:r>
          </w:p>
          <w:p>
            <w:pPr>
              <w:jc w:val="both"/>
            </w:pPr>
            <w:r>
              <w:rPr>
                <w:sz w:val="21"/>
              </w:rPr>
              <w:t>电话：</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1"/>
              </w:rPr>
              <w:t>开户名称：</w:t>
            </w:r>
          </w:p>
          <w:p>
            <w:pPr>
              <w:jc w:val="both"/>
            </w:pPr>
            <w:r>
              <w:rPr>
                <w:sz w:val="21"/>
              </w:rPr>
              <w:t>银行账号：</w:t>
            </w:r>
          </w:p>
          <w:p>
            <w:pPr>
              <w:jc w:val="both"/>
            </w:pPr>
            <w:r>
              <w:rPr>
                <w:sz w:val="21"/>
              </w:rPr>
              <w:t>开</w:t>
            </w:r>
            <w:r>
              <w:rPr>
                <w:sz w:val="21"/>
              </w:rPr>
              <w:t>户</w:t>
            </w:r>
            <w:r>
              <w:rPr>
                <w:sz w:val="21"/>
              </w:rPr>
              <w:t>行：</w:t>
            </w:r>
          </w:p>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b/>
                <w:sz w:val="21"/>
              </w:rPr>
              <w:t>见证单位：</w:t>
            </w:r>
          </w:p>
          <w:p>
            <w:pPr>
              <w:jc w:val="both"/>
            </w:pPr>
          </w:p>
          <w:p>
            <w:pPr>
              <w:jc w:val="both"/>
            </w:pPr>
            <w:r>
              <w:rPr>
                <w:sz w:val="21"/>
              </w:rPr>
              <w:t>经办人：</w:t>
            </w:r>
          </w:p>
          <w:p>
            <w:pPr>
              <w:jc w:val="both"/>
            </w:pPr>
            <w:r>
              <w:rPr>
                <w:sz w:val="21"/>
              </w:rPr>
              <w:t>业务电话：</w:t>
            </w:r>
            <w:r>
              <w:rPr>
                <w:sz w:val="21"/>
              </w:rPr>
              <w:t>0757-</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合同生效日期：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53"/>
            <w:tcBorders>
              <w:top w:val="none" w:color="000000" w:sz="4"/>
              <w:left w:val="none" w:color="000000" w:sz="4"/>
              <w:bottom w:val="none" w:color="000000" w:sz="4"/>
              <w:right w:val="none" w:color="000000" w:sz="4"/>
            </w:tcBorders>
            <w:vAlign w:val="top"/>
          </w:tcPr>
          <w:p>
            <w:pPr>
              <w:jc w:val="both"/>
            </w:pPr>
          </w:p>
        </w:tc>
      </w:tr>
    </w:tbl>
    <w:p>
      <w:pPr>
        <w:jc w:val="both"/>
      </w:pPr>
    </w:p>
    <w:p>
      <w:pPr>
        <w:jc w:val="both"/>
      </w:pPr>
    </w:p>
    <w:p>
      <w:pPr>
        <w:jc w:val="both"/>
      </w:pPr>
      <w:r>
        <w:rPr>
          <w:b/>
          <w:sz w:val="21"/>
        </w:rPr>
        <w:t>合同附件清单（如有，附后；若没有，可删除此部分内容）：</w:t>
      </w:r>
    </w:p>
    <w:p>
      <w:pPr>
        <w:jc w:val="both"/>
      </w:pPr>
      <w:r>
        <w:rPr>
          <w:sz w:val="21"/>
        </w:rPr>
        <w:t>(1)</w:t>
      </w:r>
      <w:r>
        <w:rPr>
          <w:sz w:val="21"/>
        </w:rPr>
        <w:t>本合同所有附件均在签订合同时编制，确立依据为招标文件和乙方的投标文件及相关确认文件；合同附件内容由甲乙双方共同协商确定；</w:t>
      </w:r>
    </w:p>
    <w:p>
      <w:pPr>
        <w:jc w:val="both"/>
      </w:pPr>
      <w:r>
        <w:rPr>
          <w:sz w:val="21"/>
        </w:rPr>
        <w:t>(2)</w:t>
      </w:r>
      <w:r>
        <w:rPr>
          <w:sz w:val="21"/>
        </w:rPr>
        <w:t>项目重要内容（如：经甲方审核的项目实施方案、项目标的主要内容、乙方提供的参与本项目实施的项目负责人和其他技术人员名单、项目组人员的职称证书和资格证书、项目组人员的联系方式、需求变更说明、培训方案等）可作为附件。</w:t>
      </w:r>
    </w:p>
    <w:p>
      <w:pPr>
        <w:jc w:val="both"/>
      </w:pPr>
    </w:p>
    <w:p>
      <w:pPr>
        <w:ind w:firstLine="211"/>
        <w:jc w:val="left"/>
      </w:pPr>
    </w:p>
    <w:p>
      <w:pPr>
        <w:jc w:val="both"/>
      </w:pPr>
    </w:p>
    <w:p>
      <w:pPr>
        <w:jc w:val="both"/>
      </w:pPr>
      <w:r>
        <w:rPr>
          <w:b/>
          <w:sz w:val="36"/>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440601-2024-00067</w:t>
      </w:r>
    </w:p>
    <w:p>
      <w:pPr>
        <w:jc w:val="center"/>
      </w:pPr>
      <w:r>
        <w:rPr>
          <w:b/>
          <w:sz w:val="24"/>
        </w:rPr>
        <w:t>采购项目编号：</w:t>
      </w:r>
      <w:r>
        <w:rPr>
          <w:b/>
          <w:sz w:val="24"/>
        </w:rPr>
        <w:t>GZGK23D262A0827Z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高分辨全喷墨传感芯片量产成套工艺的产业化项目第二期仪器设备采购</w:t>
      </w:r>
      <w:r>
        <w:rPr>
          <w:u w:val="single"/>
        </w:rPr>
        <w:t>”</w:t>
      </w:r>
      <w:r>
        <w:rPr/>
        <w:t>项目的招标[采购项目编号为：</w:t>
      </w:r>
      <w:r>
        <w:rPr>
          <w:u w:val="single"/>
        </w:rPr>
        <w:t>GZGK23D262A0827Z</w:t>
      </w:r>
      <w:r>
        <w:rPr/>
        <w:t>]，我方愿参与投标。</w:t>
      </w:r>
    </w:p>
    <w:p>
      <w:pPr>
        <w:ind w:firstLine="480"/>
      </w:pPr>
      <w:r>
        <w:rPr/>
        <w:t>我方确认收到贵方提供的</w:t>
      </w:r>
      <w:r>
        <w:rPr>
          <w:u w:val="single"/>
        </w:rPr>
        <w:t>“</w:t>
      </w:r>
      <w:r>
        <w:rPr>
          <w:u w:val="single"/>
        </w:rPr>
        <w:t>高分辨全喷墨传感芯片量产成套工艺的产业化项目第二期仪器设备采购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高分辨全喷墨传感芯片量产成套工艺的产业化项目第二期仪器设备采购</w:t>
      </w:r>
      <w:r>
        <w:rPr/>
        <w:t>”项目采购[采购项目编号为</w:t>
      </w:r>
      <w:r>
        <w:rPr/>
        <w:t>GZGK23D262A0827Z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佛山中科产业技术研究院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高分辨全喷墨传感芯片量产成套工艺的产业化项目第二期仪器设备采购</w:t>
      </w:r>
      <w:r>
        <w:rPr/>
        <w:t>招标中获中标（采购项目编号：</w:t>
      </w:r>
      <w:r>
        <w:rPr/>
        <w:t>GZGK23D262A0827Z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高分辨全喷墨传感芯片量产成套工艺的产业化项目第二期仪器设备采购</w:t>
      </w:r>
      <w:r>
        <w:rPr/>
        <w:t>”项目（采购项目编号：</w:t>
      </w:r>
      <w:r>
        <w:rPr/>
        <w:t>GZGK23D262A0827Z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lvl w:ilvl="1">
      <w:start w:val="1"/>
      <w:numFmt w:val="bullet"/>
      <w:lvlText w:val="⚫"/>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