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440105-2024-00688</w:t>
      </w:r>
    </w:p>
    <w:p>
      <w:pPr>
        <w:jc w:val="center"/>
      </w:pPr>
      <w:r>
        <w:rPr>
          <w:b/>
          <w:sz w:val="24"/>
        </w:rPr>
        <w:t>采购项目编号：</w:t>
      </w:r>
      <w:r>
        <w:rPr>
          <w:b/>
          <w:sz w:val="24"/>
        </w:rPr>
        <w:t>GZGK24D054C0104Z</w:t>
      </w:r>
    </w:p>
    <w:p>
      <w:pPr>
        <w:jc w:val="center"/>
      </w:pPr>
      <w:r>
        <w:rPr>
          <w:b/>
          <w:sz w:val="24"/>
        </w:rPr>
        <w:t>项目名称：</w:t>
      </w:r>
      <w:r>
        <w:rPr>
          <w:b/>
          <w:sz w:val="24"/>
        </w:rPr>
        <w:t>海珠湿地保护和基础设施建设项目检测</w:t>
      </w:r>
    </w:p>
    <w:p>
      <w:pPr>
        <w:jc w:val="center"/>
      </w:pPr>
      <w:r>
        <w:rPr>
          <w:b/>
          <w:sz w:val="24"/>
        </w:rPr>
        <w:t>采购人：</w:t>
      </w:r>
      <w:r>
        <w:rPr>
          <w:b/>
          <w:sz w:val="24"/>
        </w:rPr>
        <w:t>广州市海珠区湿地保护管理办公室</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广州市海珠区湿地保护管理办公室</w:t>
      </w:r>
      <w:r>
        <w:rPr/>
        <w:t>的委托，采用</w:t>
      </w:r>
      <w:r>
        <w:rPr/>
        <w:t>公开招标</w:t>
      </w:r>
      <w:r>
        <w:rPr/>
        <w:t>方式组织采购</w:t>
      </w:r>
      <w:r>
        <w:rPr/>
        <w:t>海珠湿地保护和基础设施建设项目检测</w:t>
      </w:r>
      <w:r>
        <w:rPr/>
        <w:t>。欢迎符合资格条件的国内供应商参加投标。</w:t>
      </w:r>
    </w:p>
    <w:p>
      <w:r>
        <w:rPr>
          <w:b/>
          <w:sz w:val="28"/>
        </w:rPr>
        <w:t>一.项目概述</w:t>
      </w:r>
    </w:p>
    <w:p>
      <w:r>
        <w:rPr>
          <w:b/>
          <w:sz w:val="24"/>
        </w:rPr>
        <w:t>1.名称与编号</w:t>
      </w:r>
    </w:p>
    <w:p>
      <w:pPr>
        <w:ind w:firstLine="480"/>
      </w:pPr>
      <w:r>
        <w:rPr/>
        <w:t>项目名称：</w:t>
      </w:r>
      <w:r>
        <w:rPr/>
        <w:t>海珠湿地保护和基础设施建设项目检测</w:t>
      </w:r>
    </w:p>
    <w:p>
      <w:pPr>
        <w:ind w:firstLine="480"/>
      </w:pPr>
      <w:r>
        <w:rPr/>
        <w:t>采购计划编号：</w:t>
      </w:r>
      <w:r>
        <w:rPr/>
        <w:t>440105-2024-00688</w:t>
      </w:r>
    </w:p>
    <w:p>
      <w:pPr>
        <w:ind w:firstLine="480"/>
      </w:pPr>
      <w:r>
        <w:rPr/>
        <w:t>采购项目编号：</w:t>
      </w:r>
      <w:r>
        <w:rPr/>
        <w:t>GZGK24D054C0104Z</w:t>
      </w:r>
    </w:p>
    <w:p>
      <w:pPr>
        <w:ind w:firstLine="480"/>
      </w:pPr>
      <w:r>
        <w:rPr/>
        <w:t>采购方式：</w:t>
      </w:r>
      <w:r>
        <w:rPr/>
        <w:t>公开招标</w:t>
      </w:r>
    </w:p>
    <w:p>
      <w:pPr>
        <w:ind w:firstLine="480"/>
      </w:pPr>
      <w:r>
        <w:rPr/>
        <w:t>预算金额：</w:t>
      </w:r>
      <w:r>
        <w:rPr/>
        <w:t>1,200,000.00</w:t>
      </w:r>
      <w:r>
        <w:rPr/>
        <w:t>元</w:t>
      </w:r>
    </w:p>
    <w:p>
      <w:r>
        <w:rPr>
          <w:b/>
          <w:sz w:val="24"/>
        </w:rPr>
        <w:t>2.项目内容及需求情况（采购项目技术规格、参数及要求）</w:t>
      </w:r>
    </w:p>
    <w:p>
      <w:pPr>
        <w:ind w:firstLine="480"/>
      </w:pPr>
    </w:p>
    <w:p/>
    <w:p>
      <w:r>
        <w:rPr/>
        <w:t>采购包1(海珠湿地保护和基础设施建设项目检测):</w:t>
      </w:r>
    </w:p>
    <w:p>
      <w:r>
        <w:rPr/>
        <w:t>采购包预算金额：1,200,000.00元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其他专业技术服务</w:t>
            </w:r>
          </w:p>
        </w:tc>
        <w:tc>
          <w:tcPr>
            <w:tcW w:type="dxa" w:w="2136"/>
          </w:tcPr>
          <w:p>
            <w:r>
              <w:rPr/>
              <w:t>海珠湿地保护和基础设施建设项目检测</w:t>
            </w:r>
          </w:p>
        </w:tc>
        <w:tc>
          <w:tcPr>
            <w:tcW w:type="dxa" w:w="1187"/>
          </w:tcPr>
          <w:p>
            <w:r>
              <w:rPr/>
              <w:t>1.00(项)</w:t>
            </w:r>
          </w:p>
        </w:tc>
        <w:tc>
          <w:tcPr>
            <w:tcW w:type="dxa" w:w="1187"/>
          </w:tcPr>
          <w:p>
            <w:r>
              <w:rPr/>
              <w:t>详见第二章</w:t>
            </w:r>
          </w:p>
        </w:tc>
        <w:tc>
          <w:tcPr>
            <w:tcW w:type="dxa" w:w="1187"/>
          </w:tcPr>
          <w:p>
            <w:r>
              <w:rPr/>
              <w:t>否</w:t>
            </w:r>
          </w:p>
        </w:tc>
      </w:tr>
    </w:tbl>
    <w:p/>
    <w:p>
      <w:r>
        <w:rPr/>
        <w:t>本采购包接受联合体投标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采购包1（海珠湿地保护和基础设施建设项目检测）：</w:t>
      </w:r>
      <w:r>
        <w:rPr/>
        <w:t>本采购包不属于专门面向中小企业采购的项目。</w:t>
      </w:r>
    </w:p>
    <w:p/>
    <w:p>
      <w:r>
        <w:rPr>
          <w:b/>
          <w:sz w:val="24"/>
        </w:rPr>
        <w:t>3.本项目特定的资格要求：</w:t>
      </w:r>
    </w:p>
    <w:p>
      <w:pPr>
        <w:ind w:firstLine="480"/>
      </w:pPr>
    </w:p>
    <w:p/>
    <w:p>
      <w:r>
        <w:rPr/>
        <w:t>采购包1（海珠湿地保护和基础设施建设项目检测）：</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3)供应商须同时具备以下资质： （1）投标人（若为联合体投标，联合体各方）具备建设行政主管部门颁发的建设工程质量检测机构资质证书（检测范围应涵盖本次招标主要检测内容：见证取样检测、地基基础工程检测、主体结构工程现场检测），且资质证书在有效期以内；或根据《住房和城乡建设部关于印发《建设工程质量检测机构资质标准》的通知》（建质规〔2023〕1号，以下简称新标准）具有有效的建设行政主管部门颁发的建设工程质量检测机构综合资质证书或专项资质证书（专项资质证书包括：建筑材料及构配件、主体结构及装饰装修、地基基础、建筑节能等）。如投标人检测机构资质证书的检测项目与主要检测内容名称不同，但表达的意思一致也视为满足该项条件。 注：资质内容按照《住房和城乡建设部关于印发《建设工程质量检测机构资质标准》的通知》建质规〔2023〕1号、《住房和城乡建设部办公厅关于做好建设工程质量检测机构新旧资质标准过渡工作的通知》建办质函〔2023〕100号文规定。 （2）投标人（若为联合体投标，联合体各方）具备质量技术监督管理部门颁发的CMA计量认证合格证书（或CMA检验检测机构资质认定证书），且在有效期内。认证范围须覆盖本项目招标的主要内容：见证取样检测、地基基础工程检测、主体结构工程现场检测、建筑节能检测等，如CMA计量认证合格证书（或CMA检验检测机构资质认定证书）中的认证项目与上述名称不同，但表达的意思一致也视为满足该项条件。 （3）投标人（若为联合体投标，指联合体主办方）拟担任本工程项目负责人具有工程类相关专业工程师或以上职称，投标人拟任本工程项目负责人必须是投标人的正式员工。 （4）本项目接受联合体投标。允许联合体投标，但只接受不多于2家单位组成的联合体，且应明确主办方，并签订联合体协议（按投标文件格式）。联合体协议应明确约定各方拟承担的工作和责任。 （5）已在云平台系统参与本项目并获取招标文件。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广州市海珠区湿地保护管理办公室</w:t>
      </w:r>
    </w:p>
    <w:p>
      <w:pPr>
        <w:ind w:firstLine="480"/>
      </w:pPr>
      <w:r>
        <w:rPr/>
        <w:t>地址：</w:t>
      </w:r>
      <w:r>
        <w:rPr/>
        <w:t>广州市海珠区新滘中路168号</w:t>
      </w:r>
    </w:p>
    <w:p>
      <w:pPr>
        <w:ind w:firstLine="480"/>
      </w:pPr>
      <w:r>
        <w:rPr/>
        <w:t>联系方式：</w:t>
      </w:r>
      <w:r>
        <w:rPr/>
        <w:t>020-89638175</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020-38364802，020-87687651</w:t>
      </w:r>
    </w:p>
    <w:p>
      <w:r>
        <w:rPr>
          <w:b/>
          <w:sz w:val="24"/>
        </w:rPr>
        <w:t>3.项目联系方式</w:t>
      </w:r>
    </w:p>
    <w:p>
      <w:pPr>
        <w:ind w:firstLine="480"/>
      </w:pPr>
      <w:r>
        <w:rPr/>
        <w:t>项目联系人：</w:t>
      </w:r>
      <w:r>
        <w:rPr/>
        <w:t>钟平、苏启立</w:t>
      </w:r>
    </w:p>
    <w:p>
      <w:pPr>
        <w:ind w:firstLine="480"/>
      </w:pPr>
      <w:r>
        <w:rPr/>
        <w:t>电话：</w:t>
      </w:r>
      <w:r>
        <w:rPr/>
        <w:t>020-38364802，020-87687651</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color w:val="000000"/>
          <w:sz w:val="21"/>
        </w:rPr>
        <w:t>（一）</w:t>
      </w:r>
      <w:r>
        <w:rPr>
          <w:b/>
          <w:color w:val="000000"/>
          <w:sz w:val="21"/>
        </w:rPr>
        <w:t>项目编号：</w:t>
      </w:r>
      <w:r>
        <w:rPr>
          <w:color w:val="000000"/>
          <w:sz w:val="21"/>
        </w:rPr>
        <w:t>GZGK24D054C0104Z</w:t>
      </w:r>
    </w:p>
    <w:p>
      <w:pPr>
        <w:jc w:val="both"/>
      </w:pPr>
      <w:r>
        <w:rPr>
          <w:b/>
          <w:color w:val="000000"/>
          <w:sz w:val="21"/>
        </w:rPr>
        <w:t>（二）</w:t>
      </w:r>
      <w:r>
        <w:rPr>
          <w:b/>
          <w:color w:val="000000"/>
          <w:sz w:val="21"/>
        </w:rPr>
        <w:t>项目名称：</w:t>
      </w:r>
      <w:r>
        <w:rPr>
          <w:color w:val="000000"/>
          <w:sz w:val="21"/>
        </w:rPr>
        <w:t>海珠湿地保护和基础设施建设项目检测</w:t>
      </w:r>
    </w:p>
    <w:p>
      <w:pPr>
        <w:jc w:val="both"/>
      </w:pPr>
      <w:r>
        <w:rPr>
          <w:b/>
          <w:color w:val="000000"/>
          <w:sz w:val="21"/>
        </w:rPr>
        <w:t>（三）</w:t>
      </w:r>
      <w:r>
        <w:rPr>
          <w:b/>
          <w:color w:val="000000"/>
          <w:sz w:val="21"/>
        </w:rPr>
        <w:t>总体要求说明：</w:t>
      </w:r>
    </w:p>
    <w:p>
      <w:pPr>
        <w:jc w:val="both"/>
      </w:pPr>
      <w:r>
        <w:rPr>
          <w:color w:val="000000"/>
          <w:sz w:val="21"/>
        </w:rPr>
        <w:t>1.</w:t>
      </w:r>
      <w:r>
        <w:rPr>
          <w:color w:val="000000"/>
          <w:sz w:val="21"/>
        </w:rPr>
        <w:t>标有</w:t>
      </w:r>
      <w:r>
        <w:rPr>
          <w:color w:val="000000"/>
          <w:sz w:val="21"/>
        </w:rPr>
        <w:t>“★”的条款</w:t>
      </w:r>
      <w:r>
        <w:rPr>
          <w:color w:val="000000"/>
          <w:sz w:val="21"/>
        </w:rPr>
        <w:t>为必须完全满足的实质性要求</w:t>
      </w:r>
      <w:r>
        <w:rPr>
          <w:color w:val="000000"/>
          <w:sz w:val="21"/>
        </w:rPr>
        <w:t>，投标人如有一项带</w:t>
      </w:r>
      <w:r>
        <w:rPr>
          <w:color w:val="000000"/>
          <w:sz w:val="21"/>
        </w:rPr>
        <w:t>“★”的条款未响应或不满足，将按无效投标处理。</w:t>
      </w:r>
    </w:p>
    <w:p>
      <w:pPr>
        <w:jc w:val="both"/>
      </w:pPr>
      <w:r>
        <w:rPr>
          <w:color w:val="000000"/>
          <w:sz w:val="21"/>
        </w:rPr>
        <w:t>2.</w:t>
      </w:r>
      <w:r>
        <w:rPr>
          <w:color w:val="000000"/>
          <w:sz w:val="21"/>
        </w:rPr>
        <w:t>标有</w:t>
      </w:r>
      <w:r>
        <w:rPr>
          <w:color w:val="000000"/>
          <w:sz w:val="21"/>
        </w:rPr>
        <w:t>“▲”的条款为重要性要求，投标人如有“▲”的条款未响应或负偏离的将被严重扣分。</w:t>
      </w:r>
    </w:p>
    <w:p>
      <w:pPr>
        <w:jc w:val="both"/>
      </w:pPr>
      <w:r>
        <w:rPr>
          <w:color w:val="000000"/>
          <w:sz w:val="21"/>
        </w:rPr>
        <w:t>3.</w:t>
      </w:r>
      <w:r>
        <w:rPr>
          <w:color w:val="000000"/>
          <w:sz w:val="21"/>
        </w:rPr>
        <w:t>投标人应对采购需求中的服务指标在响应详细内容中列出具体数值或明确承诺。如果投标人只注明</w:t>
      </w:r>
      <w:r>
        <w:rPr>
          <w:color w:val="000000"/>
          <w:sz w:val="21"/>
        </w:rPr>
        <w:t>“正偏离”或“无偏离”，将</w:t>
      </w:r>
      <w:r>
        <w:rPr>
          <w:color w:val="000000"/>
          <w:sz w:val="21"/>
        </w:rPr>
        <w:t>可能</w:t>
      </w:r>
      <w:r>
        <w:rPr>
          <w:color w:val="000000"/>
          <w:sz w:val="21"/>
        </w:rPr>
        <w:t>被视为</w:t>
      </w:r>
      <w:r>
        <w:rPr>
          <w:color w:val="000000"/>
          <w:sz w:val="21"/>
        </w:rPr>
        <w:t>“负偏离”，从而可能导致严重影响评标结果。</w:t>
      </w:r>
    </w:p>
    <w:p>
      <w:pPr>
        <w:jc w:val="both"/>
      </w:pPr>
      <w:r>
        <w:rPr>
          <w:color w:val="000000"/>
          <w:sz w:val="21"/>
        </w:rPr>
        <w:t>4.</w:t>
      </w:r>
      <w:r>
        <w:rPr>
          <w:color w:val="000000"/>
          <w:sz w:val="21"/>
        </w:rPr>
        <w:t>投标人没有在投标文件中注明偏离（文字说明或在响应表注明）的参数、配置、条款视为被投标人完全接受。</w:t>
      </w:r>
    </w:p>
    <w:p>
      <w:pPr>
        <w:jc w:val="both"/>
      </w:pPr>
      <w:r>
        <w:rPr>
          <w:color w:val="000000"/>
          <w:sz w:val="21"/>
        </w:rPr>
        <w:t>5.</w:t>
      </w:r>
      <w:r>
        <w:rPr>
          <w:color w:val="000000"/>
          <w:sz w:val="21"/>
        </w:rPr>
        <w:t>投标人应保证，采购人在中华人民共和国使用该服务或服务的任何一部分时，免受第三方提出的侵犯其专利权、商标权、著作权或其它知识产权的起诉。</w:t>
      </w:r>
    </w:p>
    <w:p>
      <w:pPr>
        <w:jc w:val="both"/>
      </w:pPr>
      <w:r>
        <w:rPr>
          <w:color w:val="000000"/>
          <w:sz w:val="21"/>
        </w:rPr>
        <w:t>6.</w:t>
      </w:r>
      <w:r>
        <w:rPr>
          <w:color w:val="000000"/>
          <w:sz w:val="21"/>
        </w:rPr>
        <w:t>不允许中标供应商</w:t>
      </w:r>
      <w:r>
        <w:rPr>
          <w:color w:val="000000"/>
          <w:sz w:val="21"/>
        </w:rPr>
        <w:t>转包、分包项目的内容</w:t>
      </w:r>
      <w:r>
        <w:rPr>
          <w:color w:val="000000"/>
          <w:sz w:val="21"/>
        </w:rPr>
        <w:t>。</w:t>
      </w:r>
    </w:p>
    <w:p>
      <w:pPr>
        <w:jc w:val="both"/>
      </w:pPr>
      <w:r>
        <w:rPr>
          <w:color w:val="000000"/>
          <w:sz w:val="21"/>
        </w:rPr>
        <w:t>7.</w:t>
      </w:r>
      <w:r>
        <w:rPr>
          <w:color w:val="000000"/>
          <w:sz w:val="21"/>
        </w:rPr>
        <w:t>小型和微型企业、监狱企业和残疾人福利性单位必须按照招标文件第三章内容提供相应的资料。</w:t>
      </w:r>
    </w:p>
    <w:p>
      <w:pPr>
        <w:jc w:val="both"/>
      </w:pPr>
      <w:r>
        <w:rPr>
          <w:color w:val="000000"/>
          <w:sz w:val="21"/>
        </w:rPr>
        <w:t>8.</w:t>
      </w:r>
      <w:r>
        <w:rPr>
          <w:color w:val="000000"/>
          <w:sz w:val="21"/>
        </w:rPr>
        <w:t>需落实政府采购政策为：促进中小企业发展政策、支持监狱企业发展政策、支持残疾人福利性单位发展政策、优先采购节能产品、环境标志产品相关政策等。</w:t>
      </w:r>
    </w:p>
    <w:p>
      <w:pPr>
        <w:jc w:val="both"/>
      </w:pPr>
      <w:r>
        <w:rPr>
          <w:color w:val="000000"/>
          <w:sz w:val="21"/>
        </w:rPr>
        <w:t>9.</w:t>
      </w:r>
      <w:r>
        <w:rPr>
          <w:color w:val="000000"/>
          <w:sz w:val="21"/>
        </w:rPr>
        <w:t>本项目符合《政府采购促进中小企业发展管理办法》第六条第（三）项的情形，故不专门面向中小企业</w:t>
      </w:r>
      <w:r>
        <w:rPr>
          <w:color w:val="000000"/>
          <w:sz w:val="21"/>
        </w:rPr>
        <w:t>。</w:t>
      </w:r>
    </w:p>
    <w:p>
      <w:pPr>
        <w:jc w:val="both"/>
      </w:pPr>
      <w:r>
        <w:rPr>
          <w:b/>
          <w:color w:val="000000"/>
          <w:sz w:val="21"/>
        </w:rPr>
        <w:t>（四）</w:t>
      </w:r>
      <w:r>
        <w:rPr>
          <w:b/>
          <w:color w:val="000000"/>
          <w:sz w:val="21"/>
        </w:rPr>
        <w:t>其他说明：</w:t>
      </w:r>
    </w:p>
    <w:p>
      <w:pPr>
        <w:jc w:val="both"/>
      </w:pPr>
      <w:r>
        <w:rPr>
          <w:color w:val="000000"/>
          <w:sz w:val="21"/>
        </w:rPr>
        <w:t>1.</w:t>
      </w:r>
      <w:r>
        <w:rPr>
          <w:color w:val="000000"/>
          <w:sz w:val="21"/>
        </w:rPr>
        <w:t>本项目开标方式为远程开标。参与全流程云平台采购项目的供应商登录云平台通过</w:t>
      </w:r>
      <w:r>
        <w:rPr>
          <w:color w:val="000000"/>
          <w:sz w:val="21"/>
        </w:rPr>
        <w:t>“新供应商开标大厅”进行签到及投标文件的解密，签到需在开标时间前30分钟内完成，不需要委派代表前往开标现场。但为了保证开标程序顺利、高效地完成，投标人亦可委派代表携带CA-key、存储有非加密投标文件的U盘前往开标现场进行签到、解密。</w:t>
      </w:r>
    </w:p>
    <w:p>
      <w:pPr>
        <w:jc w:val="both"/>
      </w:pPr>
      <w:r>
        <w:rPr>
          <w:color w:val="000000"/>
          <w:sz w:val="21"/>
        </w:rPr>
        <w:t>2.</w:t>
      </w:r>
      <w:r>
        <w:rPr>
          <w:color w:val="000000"/>
          <w:sz w:val="21"/>
        </w:rPr>
        <w:t>供应商电脑需提前安装</w:t>
      </w:r>
      <w:r>
        <w:rPr>
          <w:color w:val="000000"/>
          <w:sz w:val="21"/>
        </w:rPr>
        <w:t>CA签章客户端，并运行CA证书。</w:t>
      </w:r>
    </w:p>
    <w:p>
      <w:pPr>
        <w:jc w:val="both"/>
      </w:pPr>
      <w:r>
        <w:rPr>
          <w:b/>
          <w:color w:val="000000"/>
          <w:sz w:val="21"/>
        </w:rPr>
        <w:t>3.</w:t>
      </w:r>
      <w:r>
        <w:rPr>
          <w:b/>
          <w:color w:val="000000"/>
          <w:sz w:val="21"/>
        </w:rPr>
        <w:t>请各投标人在编制投标文件时注意，涉及到签字或签章的地方，请按要求签字或签章后再上传系统。投标文件加密前请注意所有需要签字、签章、盖章的地方是否齐全无缺漏。请保管好</w:t>
      </w:r>
      <w:r>
        <w:rPr>
          <w:b/>
          <w:color w:val="000000"/>
          <w:sz w:val="21"/>
        </w:rPr>
        <w:t>CA证书的密码，如遗忘，请及时重置，以免影响投标文件的解密。</w:t>
      </w:r>
    </w:p>
    <w:p>
      <w:pPr>
        <w:jc w:val="both"/>
      </w:pPr>
      <w:r>
        <w:rPr>
          <w:b/>
          <w:color w:val="000000"/>
          <w:sz w:val="21"/>
        </w:rPr>
        <w:t>（五）</w:t>
      </w:r>
      <w:r>
        <w:rPr>
          <w:b/>
          <w:color w:val="000000"/>
          <w:sz w:val="21"/>
        </w:rPr>
        <w:t>报价说明</w:t>
      </w:r>
    </w:p>
    <w:p>
      <w:pPr>
        <w:ind w:firstLine="420"/>
        <w:jc w:val="both"/>
      </w:pPr>
      <w:r>
        <w:rPr>
          <w:color w:val="000000"/>
          <w:sz w:val="21"/>
        </w:rPr>
        <w:t>本项目实行总价包干，投标人应对本项目所涉及的所有服务内容进行报价，投标报价包括但不限于：人工费、材料费、设备使用费、设备进出场费、检测费和损坏修复费（在建筑物全过程中检测频率不得少于设计文件和规范要求所规定的频率）、检测试验费、报告编写费、技术工作费、各项管理费，以及所有因工程质量检测应交纳的政府规费、利润、税金、风险费用等完成本项目内容所需的所有费用，不另行计取技术服务费。无论实际费用有无发生，无论各项费用有无涨落，均不再调整。</w:t>
      </w:r>
    </w:p>
    <w:p>
      <w:pPr>
        <w:ind w:firstLine="420"/>
        <w:jc w:val="both"/>
      </w:pPr>
      <w:r>
        <w:rPr>
          <w:color w:val="000000"/>
          <w:sz w:val="21"/>
        </w:rPr>
        <w:t>投标人须对本项目的采购标的进行整体投标，任何只对本项目采购标的其中一部分内容、数量进行的投标都被视为无效投标。</w:t>
      </w:r>
    </w:p>
    <w:p>
      <w:pPr>
        <w:jc w:val="both"/>
      </w:pPr>
      <w:r>
        <w:rPr>
          <w:b/>
          <w:color w:val="000000"/>
          <w:sz w:val="21"/>
        </w:rPr>
        <w:t>（六）</w:t>
      </w:r>
      <w:r>
        <w:rPr>
          <w:color w:val="000000"/>
          <w:sz w:val="21"/>
        </w:rPr>
        <w:t>项目规模及招标内容</w:t>
      </w:r>
    </w:p>
    <w:p>
      <w:pPr>
        <w:ind w:firstLine="420"/>
        <w:jc w:val="both"/>
      </w:pPr>
      <w:r>
        <w:rPr>
          <w:color w:val="000000"/>
          <w:sz w:val="21"/>
        </w:rPr>
        <w:t>1.项目规模：</w:t>
      </w:r>
    </w:p>
    <w:p>
      <w:pPr>
        <w:ind w:firstLine="420"/>
        <w:jc w:val="both"/>
      </w:pPr>
      <w:r>
        <w:rPr>
          <w:color w:val="000000"/>
          <w:sz w:val="21"/>
        </w:rPr>
        <w:t>工程建设地点：广州市海珠区新滘中路</w:t>
      </w:r>
      <w:r>
        <w:rPr>
          <w:color w:val="000000"/>
          <w:sz w:val="21"/>
        </w:rPr>
        <w:t>168号海珠湿地。</w:t>
      </w:r>
    </w:p>
    <w:p>
      <w:pPr>
        <w:ind w:firstLine="420"/>
        <w:jc w:val="both"/>
      </w:pPr>
      <w:r>
        <w:rPr>
          <w:color w:val="000000"/>
          <w:sz w:val="21"/>
        </w:rPr>
        <w:t>项目代码：</w:t>
      </w:r>
      <w:r>
        <w:rPr>
          <w:color w:val="000000"/>
          <w:sz w:val="21"/>
        </w:rPr>
        <w:t>2210-440105-04-01-903966。</w:t>
      </w:r>
    </w:p>
    <w:p>
      <w:pPr>
        <w:ind w:firstLine="420"/>
        <w:jc w:val="both"/>
      </w:pPr>
      <w:r>
        <w:rPr>
          <w:color w:val="000000"/>
          <w:sz w:val="21"/>
        </w:rPr>
        <w:t>工程建设规模：本项目研究范围</w:t>
      </w:r>
      <w:r>
        <w:rPr>
          <w:color w:val="000000"/>
          <w:sz w:val="21"/>
        </w:rPr>
        <w:t>276公顷，重点区域规划设计范围 128 公顷。建设内容：包括湿地水系连通、湿地围蔽、道路修复提升、补充科普设施、生态游憩设施修缮及提升、水生态修复、生境修复等。本次景观工程建设内容主要针对基础工程进行改造，包含“基础设施修复、门面改造建设工程及生态修复工程”三大专项内容。</w:t>
      </w:r>
    </w:p>
    <w:p>
      <w:pPr>
        <w:ind w:firstLine="420"/>
        <w:jc w:val="both"/>
      </w:pPr>
      <w:r>
        <w:rPr>
          <w:color w:val="000000"/>
          <w:sz w:val="21"/>
        </w:rPr>
        <w:t>项目批准文件：穗海发改投批〔</w:t>
      </w:r>
      <w:r>
        <w:rPr>
          <w:color w:val="000000"/>
          <w:sz w:val="21"/>
        </w:rPr>
        <w:t>2023〕28号。</w:t>
      </w:r>
    </w:p>
    <w:p>
      <w:pPr>
        <w:ind w:firstLine="420"/>
        <w:jc w:val="both"/>
      </w:pPr>
      <w:r>
        <w:rPr>
          <w:color w:val="000000"/>
          <w:sz w:val="21"/>
        </w:rPr>
        <w:t>资金来源：区财政资金（政府债券为主）。</w:t>
      </w:r>
    </w:p>
    <w:p>
      <w:pPr>
        <w:ind w:firstLine="420"/>
        <w:jc w:val="both"/>
      </w:pPr>
      <w:r>
        <w:rPr>
          <w:color w:val="000000"/>
          <w:sz w:val="21"/>
        </w:rPr>
        <w:t>投资总额：总投资估算为</w:t>
      </w:r>
      <w:r>
        <w:rPr>
          <w:color w:val="000000"/>
          <w:sz w:val="21"/>
        </w:rPr>
        <w:t>8854.51万元，其中建安工程费约为7415.38万元。</w:t>
      </w:r>
    </w:p>
    <w:p>
      <w:pPr>
        <w:ind w:firstLine="420"/>
        <w:jc w:val="both"/>
      </w:pPr>
      <w:r>
        <w:rPr>
          <w:color w:val="000000"/>
          <w:sz w:val="21"/>
        </w:rPr>
        <w:t>2.招标内容：依据施工图及相关规范要求，开展第三方检测工作，包括但不限于见证取样检测、地基基础工程检测、主体结构工程现场检测、建筑节能工程检测等，具体以有关规范要求所包含的全部内容为准。</w:t>
      </w:r>
    </w:p>
    <w:p>
      <w:pPr>
        <w:jc w:val="both"/>
      </w:pPr>
      <w:r>
        <w:rPr>
          <w:b/>
          <w:color w:val="000000"/>
          <w:sz w:val="21"/>
        </w:rPr>
        <w:t>（七）</w:t>
      </w:r>
      <w:r>
        <w:rPr>
          <w:b/>
          <w:color w:val="000000"/>
          <w:sz w:val="21"/>
        </w:rPr>
        <w:t>实现的目标</w:t>
      </w:r>
    </w:p>
    <w:p>
      <w:pPr>
        <w:ind w:firstLine="420"/>
        <w:jc w:val="both"/>
      </w:pPr>
      <w:r>
        <w:rPr>
          <w:color w:val="000000"/>
          <w:sz w:val="21"/>
        </w:rPr>
        <w:t>中标人进场完成所有检测项目且技术成果通过审批，服务周期必须满足实际施工要求，采购人有权根据工程实际需要调整工期，中标人需配合采购人的调整作出相应的执行计划。</w:t>
      </w:r>
    </w:p>
    <w:p>
      <w:pPr>
        <w:jc w:val="both"/>
      </w:pPr>
      <w:r>
        <w:rPr>
          <w:b/>
          <w:color w:val="000000"/>
          <w:sz w:val="21"/>
        </w:rPr>
        <w:t>（八）</w:t>
      </w:r>
      <w:r>
        <w:rPr>
          <w:b/>
          <w:color w:val="000000"/>
          <w:sz w:val="21"/>
        </w:rPr>
        <w:t>需执行国家相关标准、行业标准、地方标准或者其他标准、规范</w:t>
      </w:r>
    </w:p>
    <w:p/>
    <w:p>
      <w:pPr>
        <w:ind w:firstLine="480"/>
      </w:pPr>
    </w:p>
    <w:p/>
    <w:p>
      <w:r>
        <w:rPr/>
        <w:t>采购包1（海珠湿地保护和基础设施建设项目检测）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从中标人进场至所有服务项目完成，服务周期必须满足实际施工要求和验收要求。具体开工时间以采购人书面通知为准，因采购人原因或现场不具备作业条件，检测时间顺延。</w:t>
            </w:r>
          </w:p>
        </w:tc>
      </w:tr>
      <w:tr>
        <w:tc>
          <w:tcPr>
            <w:tcW w:type="dxa" w:w="4153"/>
          </w:tcPr>
          <w:p>
            <w:r>
              <w:rPr/>
              <w:t>标的提供的地点</w:t>
            </w:r>
          </w:p>
        </w:tc>
        <w:tc>
          <w:tcPr>
            <w:tcW w:type="dxa" w:w="4153"/>
          </w:tcPr>
          <w:p/>
          <w:p>
            <w:r>
              <w:rPr/>
              <w:t>广州市海珠区</w:t>
            </w:r>
          </w:p>
        </w:tc>
      </w:tr>
      <w:tr>
        <w:tc>
          <w:tcPr>
            <w:tcW w:type="dxa" w:w="4153"/>
          </w:tcPr>
          <w:p>
            <w:r>
              <w:rPr/>
              <w:t>付款方式</w:t>
            </w:r>
          </w:p>
        </w:tc>
        <w:tc>
          <w:tcPr>
            <w:tcW w:type="dxa" w:w="4153"/>
          </w:tcPr>
          <w:p/>
          <w:p/>
          <w:p>
            <w:r>
              <w:rPr/>
              <w:t>1期：支付比例100%,(1)在合同签订生效以及具备实施条件后5个工作日内支付30%预付款； (2)完成合同工作量的80%时，中标人提出申请，经采购人确认并收到发票后10个工作日内，支付至合同总金额的80%； (3)工程完工后，中标人提交成果报告并经采购人确认及收到发票后10个工作日内，支付至合同总金额的100%。 注：每笔款项支付，中标人须向采购人提交支付申请资料及等额增值税普通发票。</w:t>
            </w:r>
          </w:p>
        </w:tc>
      </w:tr>
      <w:tr>
        <w:tc>
          <w:tcPr>
            <w:tcW w:type="dxa" w:w="4153"/>
          </w:tcPr>
          <w:p>
            <w:r>
              <w:rPr/>
              <w:t>验收要求</w:t>
            </w:r>
          </w:p>
        </w:tc>
        <w:tc>
          <w:tcPr>
            <w:tcW w:type="dxa" w:w="4153"/>
          </w:tcPr>
          <w:p/>
          <w:p/>
          <w:p/>
          <w:p>
            <w:r>
              <w:rPr/>
              <w:t>1期：（1）中标人完成检测工作后在采购人要求的时间内形成成果资料。采购人对所提交的报告及技术数据按国家或省、广州市或行业的检测技术标准或规范的要求以及招标文件要求进行验收； （2）自中标人提出验收申请之日起7个人工作日内采购人应组织验收。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其他，1、除招标文件另有规定外，若出现有关法律、法规和规章有强制性规定但招标文件未列明的情形，则投标人应按照有关法律、法规和规章强制性规定执行。 2、关于投标报价：评标委员会认为，投标人的报价明显不合理或者明显低于其他投标报价，有可能影响服务质量和不能诚信履约的，应当要求该投标人作出书面说明并提供相关证明材料。投标人不能合理说明或者不能提供相关证明材料的，由评标委员会认定该投标人以低于成本报价竞标，投标无效。</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海珠湿地保护和基础设施建设项目检测</w:t>
            </w:r>
          </w:p>
        </w:tc>
        <w:tc>
          <w:tcPr>
            <w:tcW w:type="dxa" w:w="933"/>
          </w:tcPr>
          <w:p>
            <w:pPr>
              <w:jc w:val="left"/>
            </w:pPr>
            <w:r>
              <w:rPr/>
              <w:t>项</w:t>
            </w:r>
          </w:p>
        </w:tc>
        <w:tc>
          <w:tcPr>
            <w:tcW w:type="dxa" w:w="933"/>
          </w:tcPr>
          <w:p>
            <w:pPr>
              <w:jc w:val="right"/>
            </w:pPr>
            <w:r>
              <w:rPr/>
              <w:t>1.00</w:t>
            </w:r>
          </w:p>
        </w:tc>
        <w:tc>
          <w:tcPr>
            <w:tcW w:type="dxa" w:w="933"/>
          </w:tcPr>
          <w:p>
            <w:pPr>
              <w:jc w:val="right"/>
            </w:pPr>
            <w:r>
              <w:rPr/>
              <w:t>1,200,000.00</w:t>
            </w:r>
          </w:p>
        </w:tc>
        <w:tc>
          <w:tcPr>
            <w:tcW w:type="dxa" w:w="933"/>
          </w:tcPr>
          <w:p>
            <w:pPr>
              <w:jc w:val="right"/>
            </w:pPr>
            <w:r>
              <w:rPr/>
              <w:t>1,200,000.00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海珠湿地保护和基础设施建设项目检测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21"/>
              </w:rPr>
              <w:t>一、服务范围（海珠湿地保护和基础设施建设项目检测）</w:t>
            </w:r>
          </w:p>
          <w:p>
            <w:r>
              <w:rPr>
                <w:color w:val="000000"/>
                <w:sz w:val="21"/>
              </w:rPr>
              <w:t>（一）检测范围：</w:t>
            </w:r>
          </w:p>
          <w:p>
            <w:pPr>
              <w:ind w:firstLine="420"/>
            </w:pPr>
            <w:r>
              <w:rPr>
                <w:color w:val="000000"/>
                <w:sz w:val="21"/>
              </w:rPr>
              <w:t>1、根据设计文件、施工组织设计、相关规范和相关行政职能部门要求和采购人要求，结合项目实际情况，编制检测方案，并确保检测方案符合有关规范要求及通过工程所在行政区域的相关建设行政主管部门和监督部门的审批，同时负责协调相关工作，保证技术成果能够通过相关部门认可，确保不因检测工作影响本工程项目的建设进度和竣工验收，投标人需在投标报价中综合考虑该项协调工作的费用。</w:t>
            </w:r>
          </w:p>
          <w:p>
            <w:pPr>
              <w:ind w:firstLine="420"/>
            </w:pPr>
            <w:r>
              <w:rPr>
                <w:color w:val="000000"/>
                <w:sz w:val="21"/>
              </w:rPr>
              <w:t>2、在进行检测服务过程中，与该工程相关的施工、监理、设计、咨询等相关单位及建设协调行政主管部门和监督部门协调，投标人需在投标报价中综合考虑该项协调工作费用。</w:t>
            </w:r>
          </w:p>
          <w:p>
            <w:pPr>
              <w:ind w:firstLine="420"/>
            </w:pPr>
            <w:r>
              <w:rPr>
                <w:color w:val="000000"/>
                <w:sz w:val="21"/>
              </w:rPr>
              <w:t>3、本招标项目已包含监督抽检的工作内容，监督抽检数量按建设行政主管部门要求实施，投标人需在投标报价中综合考虑该部分费用。</w:t>
            </w:r>
          </w:p>
          <w:p>
            <w:pPr>
              <w:ind w:firstLine="420"/>
            </w:pPr>
            <w:r>
              <w:rPr>
                <w:color w:val="000000"/>
                <w:sz w:val="21"/>
              </w:rPr>
              <w:t>4、负责检测数据的有关信息通过广州市建设工程质量检测监管信息网报送。</w:t>
            </w:r>
          </w:p>
          <w:p>
            <w:pPr>
              <w:ind w:firstLine="420"/>
            </w:pPr>
            <w:r>
              <w:rPr>
                <w:color w:val="000000"/>
                <w:sz w:val="21"/>
              </w:rPr>
              <w:t>5、本项目实施期间，如果因本项目验收需要，按规范和经批准的检测方案，经采购人确认需增加《工作量清单》中没有的项目，且中标人也具备相应资质，除不可抗力外，则中标人不得以任何原因拒绝为采购人提供检测，并按要求出具符合验收要求的检测报告。中标人检测资质不能涵盖的项目报采购人批准后由中标人委托具有相应资质的单位实施，并取得相应管理部门的确认。</w:t>
            </w:r>
          </w:p>
        </w:tc>
      </w:tr>
      <w:tr>
        <w:tc>
          <w:tcPr>
            <w:tcW w:type="dxa" w:w="2076"/>
          </w:tcPr>
          <w:p/>
        </w:tc>
        <w:tc>
          <w:tcPr>
            <w:tcW w:type="dxa" w:w="415"/>
          </w:tcPr>
          <w:p>
            <w:r>
              <w:rPr/>
              <w:t>2</w:t>
            </w:r>
          </w:p>
        </w:tc>
        <w:tc>
          <w:tcPr>
            <w:tcW w:type="dxa" w:w="5814"/>
          </w:tcPr>
          <w:p>
            <w:r>
              <w:rPr/>
              <w:t>二、服务内容</w:t>
            </w:r>
            <w:r>
              <w:br/>
            </w:r>
            <w:r>
              <w:rPr/>
              <w:t>海珠湿地保护和基础设施建设项目的第三方检测，包括但不限于见证取样检测、地基基础工程检测、主体结构工程现场检测、建筑节能工程检测等按规范和验收要求必须检测的项目。检测内容详见附件检测清单（注：检测清单中的检测内容为预估，供投标人报价参考，实际工作量在项目施工过程可能会发生变更及调整，投标人必须综合考虑各种风险完成本项目内容所需的所有费用，无论是否发生变更及调整，均不另行计取技术服务费。）。</w:t>
            </w:r>
          </w:p>
          <w:p>
            <w:pPr>
              <w:jc w:val="both"/>
            </w:pPr>
          </w:p>
        </w:tc>
      </w:tr>
      <w:tr>
        <w:tc>
          <w:tcPr>
            <w:tcW w:type="dxa" w:w="2076"/>
          </w:tcPr>
          <w:p/>
        </w:tc>
        <w:tc>
          <w:tcPr>
            <w:tcW w:type="dxa" w:w="415"/>
          </w:tcPr>
          <w:p>
            <w:r>
              <w:rPr/>
              <w:t>3</w:t>
            </w:r>
          </w:p>
        </w:tc>
        <w:tc>
          <w:tcPr>
            <w:tcW w:type="dxa" w:w="5814"/>
          </w:tcPr>
          <w:p>
            <w:r>
              <w:rPr>
                <w:color w:val="000000"/>
                <w:sz w:val="21"/>
              </w:rPr>
              <w:t>三、质量标准</w:t>
            </w:r>
          </w:p>
          <w:p>
            <w:pPr>
              <w:jc w:val="both"/>
            </w:pPr>
            <w:r>
              <w:rPr>
                <w:color w:val="000000"/>
                <w:sz w:val="21"/>
              </w:rPr>
              <w:t>符合国家及广东省、广州市有关检测标准。</w:t>
            </w:r>
          </w:p>
        </w:tc>
      </w:tr>
      <w:tr>
        <w:tc>
          <w:tcPr>
            <w:tcW w:type="dxa" w:w="2076"/>
          </w:tcPr>
          <w:p/>
        </w:tc>
        <w:tc>
          <w:tcPr>
            <w:tcW w:type="dxa" w:w="415"/>
          </w:tcPr>
          <w:p>
            <w:r>
              <w:rPr/>
              <w:t>4</w:t>
            </w:r>
          </w:p>
        </w:tc>
        <w:tc>
          <w:tcPr>
            <w:tcW w:type="dxa" w:w="5814"/>
          </w:tcPr>
          <w:p>
            <w:r>
              <w:rPr>
                <w:color w:val="000000"/>
                <w:sz w:val="21"/>
              </w:rPr>
              <w:t>四、技术要求：</w:t>
            </w:r>
          </w:p>
          <w:p>
            <w:pPr>
              <w:ind w:firstLine="420"/>
            </w:pPr>
            <w:r>
              <w:rPr>
                <w:color w:val="000000"/>
                <w:sz w:val="21"/>
              </w:rPr>
              <w:t>1.1主要试验检测仪器设备要求：投标人应正确配备符合检测项目及现行有效标准、规范要求的试验检测设备，并经检定/校准合格。</w:t>
            </w:r>
          </w:p>
          <w:p>
            <w:pPr>
              <w:ind w:firstLine="420"/>
            </w:pPr>
            <w:r>
              <w:rPr>
                <w:color w:val="000000"/>
                <w:sz w:val="21"/>
              </w:rPr>
              <w:t>1.2投入本项目的团队人员要求：投标人需为本项目投入具有同类项目经验的团队人员（同时具有工程类的职称要求），其中至少包含一名项目负责人和一名技术负责人负责本项目的统筹及技术指导方面的工作。</w:t>
            </w:r>
          </w:p>
          <w:p>
            <w:pPr>
              <w:ind w:firstLine="420"/>
            </w:pPr>
            <w:r>
              <w:rPr>
                <w:color w:val="000000"/>
                <w:sz w:val="21"/>
              </w:rPr>
              <w:t>1.3服务周期安排：配合采购人及施工单位的施工进度要求，在收到采购人或监理单位的阶段检测通知及现场具备检测条件后48小时内，保证检测设备，人员全部到位开展工作。</w:t>
            </w:r>
          </w:p>
          <w:p>
            <w:pPr>
              <w:ind w:firstLine="420"/>
            </w:pPr>
            <w:r>
              <w:rPr>
                <w:color w:val="000000"/>
                <w:sz w:val="21"/>
              </w:rPr>
              <w:t>1.4成果整理及资料提交：阶段现场检测工作完毕后，及时组织技术员对采集的数据进行分析处理，7天内提供初步检测结果，7个工作日内提供阶段检测报告，现场试验全部检测完毕后，15个工作日内提供正式检测报告一式四份，对局部质量出现异常情况，及时分析原因，提供处理措施建议，并会同有关单位共同协商处理。检测报告应符合国家现行规定标准。</w:t>
            </w:r>
          </w:p>
          <w:p>
            <w:pPr>
              <w:ind w:firstLine="420"/>
            </w:pPr>
            <w:r>
              <w:rPr>
                <w:color w:val="000000"/>
                <w:sz w:val="21"/>
              </w:rPr>
              <w:t>1.5质量保证措施：中标人遵照国家有关规程、规定进行检测，保证检测的公正性、准确性、科学性。对现场检测、资料处理、报告校核、审核、批准、发出等每一环节都制定相应的控制措施，在检测全过程中贯彻“质量第一”的方针，确保检测质量满足规范或合同的要求，为采购人提供优质服务。</w:t>
            </w:r>
          </w:p>
          <w:p>
            <w:pPr>
              <w:ind w:firstLine="420"/>
            </w:pPr>
            <w:r>
              <w:rPr>
                <w:color w:val="000000"/>
                <w:sz w:val="21"/>
              </w:rPr>
              <w:t>1.6安全文明保证措施：</w:t>
            </w:r>
          </w:p>
          <w:p>
            <w:pPr>
              <w:ind w:firstLine="420"/>
            </w:pPr>
            <w:r>
              <w:rPr>
                <w:color w:val="000000"/>
                <w:sz w:val="21"/>
              </w:rPr>
              <w:t>1）严格遵守国家现行有关的安全施工措施；</w:t>
            </w:r>
          </w:p>
          <w:p>
            <w:pPr>
              <w:ind w:firstLine="420"/>
            </w:pPr>
            <w:r>
              <w:rPr>
                <w:color w:val="000000"/>
                <w:sz w:val="21"/>
              </w:rPr>
              <w:t>2）操作人员必须持证上岗，检测仪器设备均在计量有效期内；</w:t>
            </w:r>
          </w:p>
          <w:p>
            <w:pPr>
              <w:ind w:firstLine="420"/>
            </w:pPr>
            <w:r>
              <w:rPr>
                <w:color w:val="000000"/>
                <w:sz w:val="21"/>
              </w:rPr>
              <w:t>3）设备、仪器操作人员要保持饱满的精神，严格按照操作规范安全文明工作。</w:t>
            </w:r>
          </w:p>
          <w:p>
            <w:pPr>
              <w:ind w:firstLine="420"/>
            </w:pPr>
            <w:r>
              <w:rPr>
                <w:color w:val="000000"/>
                <w:sz w:val="21"/>
              </w:rPr>
              <w:t>1.7验收标准应符合但不限于下列规范规程（</w:t>
            </w:r>
            <w:r>
              <w:rPr/>
              <w:t>下述规范规程如在本项目实施期间有新版本更新，以新版本为准</w:t>
            </w:r>
            <w:r>
              <w:rPr>
                <w:color w:val="000000"/>
                <w:sz w:val="21"/>
              </w:rPr>
              <w:t>）：</w:t>
            </w:r>
          </w:p>
          <w:p>
            <w:pPr>
              <w:ind w:firstLine="420"/>
            </w:pPr>
            <w:r>
              <w:rPr>
                <w:color w:val="000000"/>
                <w:sz w:val="21"/>
              </w:rPr>
              <w:t>1）《建筑地基基础检测规范》（DBJ15–60–2019）</w:t>
            </w:r>
          </w:p>
          <w:p>
            <w:pPr>
              <w:ind w:firstLine="420"/>
            </w:pPr>
            <w:r>
              <w:rPr>
                <w:color w:val="000000"/>
                <w:sz w:val="21"/>
              </w:rPr>
              <w:t>2）《建筑地基基础设计规范》（GB50007-2011）</w:t>
            </w:r>
          </w:p>
          <w:p>
            <w:pPr>
              <w:ind w:firstLine="420"/>
            </w:pPr>
            <w:r>
              <w:rPr>
                <w:color w:val="000000"/>
                <w:sz w:val="21"/>
              </w:rPr>
              <w:t>3）《建筑基桩检测技术规范》JGJ106-2014</w:t>
            </w:r>
          </w:p>
          <w:p>
            <w:pPr>
              <w:ind w:firstLine="420"/>
            </w:pPr>
            <w:r>
              <w:rPr>
                <w:color w:val="000000"/>
                <w:sz w:val="21"/>
              </w:rPr>
              <w:t>4）《建筑桩基技术规范》（JGJ94—2008）</w:t>
            </w:r>
          </w:p>
          <w:p>
            <w:pPr>
              <w:ind w:firstLine="420"/>
            </w:pPr>
            <w:r>
              <w:rPr>
                <w:color w:val="000000"/>
                <w:sz w:val="21"/>
              </w:rPr>
              <w:t>5）《建筑地基处理技术规程》（JGJ79-2012）</w:t>
            </w:r>
          </w:p>
          <w:p>
            <w:pPr>
              <w:ind w:firstLine="420"/>
            </w:pPr>
            <w:r>
              <w:rPr>
                <w:color w:val="000000"/>
                <w:sz w:val="21"/>
              </w:rPr>
              <w:t>6）国家标准《混凝土结构工程施工质量验收规范》（GB 50204-2015）</w:t>
            </w:r>
          </w:p>
          <w:p>
            <w:pPr>
              <w:ind w:firstLine="420"/>
            </w:pPr>
            <w:r>
              <w:rPr>
                <w:color w:val="000000"/>
                <w:sz w:val="21"/>
              </w:rPr>
              <w:t>7）国家行业标准《回弹法检测混凝土抗压强度技术规程》（JGJT23-2011）</w:t>
            </w:r>
          </w:p>
          <w:p>
            <w:pPr>
              <w:ind w:firstLine="420"/>
            </w:pPr>
            <w:r>
              <w:rPr>
                <w:color w:val="000000"/>
                <w:sz w:val="21"/>
              </w:rPr>
              <w:t>8）国家行业标准《钻芯法检测混凝土强度技术规程》（JGJT384-2016）</w:t>
            </w:r>
          </w:p>
          <w:p>
            <w:pPr>
              <w:ind w:firstLine="420"/>
            </w:pPr>
            <w:r>
              <w:rPr>
                <w:color w:val="000000"/>
                <w:sz w:val="21"/>
              </w:rPr>
              <w:t>9）《蒸压加气混凝土砌块》GB/T 11968-2020</w:t>
            </w:r>
          </w:p>
          <w:p>
            <w:pPr>
              <w:ind w:firstLine="420"/>
            </w:pPr>
            <w:r>
              <w:rPr>
                <w:color w:val="000000"/>
                <w:sz w:val="21"/>
              </w:rPr>
              <w:t>10）《蒸压灰砂实心砖和实心砌块》GB/T 11945-2019</w:t>
            </w:r>
          </w:p>
          <w:p>
            <w:pPr>
              <w:ind w:firstLine="420"/>
            </w:pPr>
            <w:r>
              <w:rPr>
                <w:color w:val="000000"/>
                <w:sz w:val="21"/>
              </w:rPr>
              <w:t>11）国家标准《混凝土砌块和砖试验方法》（GB/T4111-2013）</w:t>
            </w:r>
          </w:p>
          <w:p>
            <w:pPr>
              <w:ind w:firstLine="420"/>
            </w:pPr>
            <w:r>
              <w:rPr>
                <w:color w:val="000000"/>
                <w:sz w:val="21"/>
              </w:rPr>
              <w:t>12）国家标准《混凝土强度检验评定标准》(GB 50107-2010)</w:t>
            </w:r>
          </w:p>
          <w:p>
            <w:pPr>
              <w:ind w:firstLine="420"/>
            </w:pPr>
            <w:r>
              <w:rPr>
                <w:color w:val="000000"/>
                <w:sz w:val="21"/>
              </w:rPr>
              <w:t>13）国家标准《砌体工程施工质量验收规范》（GB 50203-2011）</w:t>
            </w:r>
          </w:p>
          <w:p>
            <w:pPr>
              <w:ind w:firstLine="420"/>
            </w:pPr>
            <w:r>
              <w:rPr>
                <w:color w:val="000000"/>
                <w:sz w:val="21"/>
              </w:rPr>
              <w:t>14）国家标准《焊接接头拉伸试验方法》（GB 2651-2008）</w:t>
            </w:r>
          </w:p>
          <w:p>
            <w:pPr>
              <w:ind w:firstLine="420"/>
            </w:pPr>
            <w:r>
              <w:rPr>
                <w:color w:val="000000"/>
                <w:sz w:val="21"/>
              </w:rPr>
              <w:t>15）国家标准《水泥细度检验方法筛析法》（GB/T1345-2005）</w:t>
            </w:r>
          </w:p>
          <w:p>
            <w:pPr>
              <w:ind w:firstLine="420"/>
            </w:pPr>
            <w:r>
              <w:rPr>
                <w:color w:val="000000"/>
                <w:sz w:val="21"/>
              </w:rPr>
              <w:t>16）国家标准《水泥标准稠度用水量、凝结时间、安定性检验方法》（GB/T1346-2011）</w:t>
            </w:r>
          </w:p>
          <w:p>
            <w:pPr>
              <w:ind w:firstLine="420"/>
            </w:pPr>
            <w:r>
              <w:rPr>
                <w:color w:val="000000"/>
                <w:sz w:val="21"/>
              </w:rPr>
              <w:t>17）国家行业标准《普通混凝土用砂、石质量及检验方法标准》（JGJ52-2006）</w:t>
            </w:r>
          </w:p>
          <w:p>
            <w:pPr>
              <w:ind w:firstLine="420"/>
            </w:pPr>
            <w:r>
              <w:rPr>
                <w:color w:val="000000"/>
                <w:sz w:val="21"/>
              </w:rPr>
              <w:t>18）国家行业标准《钢筋焊接接头试验方法标准》( JGJ/T27-2014 )</w:t>
            </w:r>
          </w:p>
          <w:p>
            <w:pPr>
              <w:ind w:firstLine="420"/>
            </w:pPr>
            <w:r>
              <w:rPr>
                <w:color w:val="000000"/>
                <w:sz w:val="21"/>
              </w:rPr>
              <w:t>19）国家标准《建筑节能工程施工质量验收规范》（GB 50411-2019）</w:t>
            </w:r>
          </w:p>
          <w:p>
            <w:pPr>
              <w:ind w:firstLine="420"/>
            </w:pPr>
            <w:r>
              <w:rPr>
                <w:color w:val="000000"/>
                <w:sz w:val="21"/>
              </w:rPr>
              <w:t>20）国家行业标准《居住建筑节能检测标准》( JGJ/T132 )</w:t>
            </w:r>
          </w:p>
          <w:p>
            <w:pPr>
              <w:ind w:firstLine="420"/>
            </w:pPr>
            <w:r>
              <w:rPr>
                <w:color w:val="000000"/>
                <w:sz w:val="21"/>
              </w:rPr>
              <w:t>21）设计方提供的设计文件要求</w:t>
            </w:r>
          </w:p>
          <w:p>
            <w:pPr>
              <w:ind w:firstLine="420"/>
            </w:pPr>
            <w:r>
              <w:rPr/>
              <w:t xml:space="preserve"> </w:t>
            </w:r>
          </w:p>
          <w:p>
            <w:pPr>
              <w:ind w:firstLine="420"/>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广州市海珠区湿地保护管理办公室</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采购代理服务费由中标供应商在领取《中标通知书》前一次性向采购代理机构交纳。本项目的招标代理服务费收费标准以采购预算金额为基准参照《招标代理服务收费管理暂行办法》（计价格[2002]1980号）及国家发改委颁布的（发改办价格【2003】857号）的标准下浮10%进行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钟平、苏启立</w:t>
      </w:r>
    </w:p>
    <w:p>
      <w:pPr>
        <w:ind w:firstLine="480"/>
      </w:pPr>
      <w:r>
        <w:rPr/>
        <w:t>电话：</w:t>
      </w:r>
      <w:r>
        <w:rPr/>
        <w:t>020-38364802，020-87687651</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政府采购监督管理机构名称：广州市海珠区财政局综合法规科</w:t>
      </w:r>
    </w:p>
    <w:p>
      <w:r>
        <w:rPr/>
        <w:t>地  址：广州市海珠区宝岗大道龙骧大街5号</w:t>
      </w:r>
    </w:p>
    <w:p>
      <w:r>
        <w:rPr/>
        <w:t>电  话：020-84121563、020-84156814</w:t>
      </w:r>
    </w:p>
    <w:p>
      <w:r>
        <w:rPr/>
        <w:t>邮  编：510220</w:t>
      </w:r>
    </w:p>
    <w:p>
      <w:r>
        <w:rPr/>
        <w:t>传  真：</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海珠湿地保护和基础设施建设项目检测)：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采购包1（海珠湿地保护和基础设施建设项目检测）：</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P2（货物、服务项目P2的取值为4%，工程项目P2的取值为2%）的扣除，用扣除后的价格参加评审。适用招标投标法的政府采购工程建设项目，采用综合评估法但未采用低价优先法计算价格分的，评标时应当在采用原报价进行评分的基础上，原则上按2%增加其价格得分。组成联合体或者接受分包的小微企业与联合体内其他企业、分包企业之间存在直接控股、管理关系的，不享受价格扣除优惠政策。 3、《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4、在政府采购活动中，供应商提供的货物、工程或者服务符合下列情形的，享受中小企业扶持政策：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（6）以联合体形式参加政府采购活动，联合体各方均为中小企业的，联合体视同中小企业。其中，联合体各方均为小微企业的，联合体视同小微企业。 5、在本项目政府采购活动中，对符合《政府采购促进中小企业发展管理办法》规定的小微企业报价给予一定比例的扣除，用扣除后的价格参加评审。具体扣除办法如下： 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P2的价格扣除，即：评标价＝投标价×（1-P2）。组成联合体或者接受分包的小微企业与联合体内其他企业、分包企业之间存在直接控股、管理关系的，不享受价格扣除优惠政策。 6、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7、监狱企业参加政府采购活动时，应当提供由省级以上监狱管理局、戒毒管理局(含新疆生产建设兵团)出具的属于监狱企业的证明文件。 8、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小型、微型企业，监狱企业，残疾人福利性单位</w:t>
            </w:r>
          </w:p>
        </w:tc>
        <w:tc>
          <w:tcPr>
            <w:tcW w:type="dxa" w:w="2160"/>
          </w:tcPr>
          <w:p>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r>
              <w:rPr/>
              <w:t>4%</w:t>
            </w:r>
          </w:p>
        </w:tc>
        <w:tc>
          <w:tcPr>
            <w:tcW w:type="dxa" w:w="2160"/>
          </w:tcPr>
          <w:p>
            <w:pPr>
              <w:jc w:val="left"/>
            </w:pPr>
            <w:r>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P2（货物、服务项目P2的取值为4%，工程项目P2的取值为2%）的扣除，用扣除后的价格参加评审。适用招标投标法的政府采购工程建设项目，采用综合评估法但未采用低价优先法计算价格分的，评标时应当在采用原报价进行评分的基础上，原则上按2%增加其价格得分。组成联合体或者接受分包的小微企业与联合体内其他企业、分包企业之间存在直接控股、管理关系的，不享受价格扣除优惠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采购包1（海珠湿地保护和基础设施建设项目检测）：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w:t>
            </w:r>
          </w:p>
        </w:tc>
        <w:tc>
          <w:tcPr>
            <w:tcW w:type="dxa" w:w="4238"/>
          </w:tcPr>
          <w:p>
            <w:r>
              <w:rPr/>
              <w:t>供应商须同时具备以下资质： （1）投标人（若为联合体投标，联合体各方）具备建设行政主管部门颁发的建设工程质量检测机构资质证书（检测范围应涵盖本次招标主要检测内容：见证取样检测、地基基础工程检测、主体结构工程现场检测），且资质证书在有效期以内；或根据《住房和城乡建设部关于印发《建设工程质量检测机构资质标准》的通知》（建质规〔2023〕1号，以下简称新标准）具有有效的建设行政主管部门颁发的建设工程质量检测机构综合资质证书或专项资质证书（专项资质证书包括：建筑材料及构配件、主体结构及装饰装修、地基基础、建筑节能等）。如投标人检测机构资质证书的检测项目与主要检测内容名称不同，但表达的意思一致也视为满足该项条件。 注：资质内容按照《住房和城乡建设部关于印发《建设工程质量检测机构资质标准》的通知》建质规〔2023〕1号、《住房和城乡建设部办公厅关于做好建设工程质量检测机构新旧资质标准过渡工作的通知》建办质函〔2023〕100号文规定。 （2）投标人（若为联合体投标，联合体各方）具备质量技术监督管理部门颁发的CMA计量认证合格证书（或CMA检验检测机构资质认定证书），且在有效期内。认证范围须覆盖本项目招标的主要内容：见证取样检测、地基基础工程检测、主体结构工程现场检测、建筑节能检测等，如CMA计量认证合格证书（或CMA检验检测机构资质认定证书）中的认证项目与上述名称不同，但表达的意思一致也视为满足该项条件。 （3）投标人（若为联合体投标，指联合体主办方）拟担任本工程项目负责人具有工程类相关专业工程师或以上职称，投标人拟任本工程项目负责人必须是投标人的正式员工。 （4）本项目接受联合体投标。允许联合体投标，但只接受不多于2家单位组成的联合体，且应明确主办方，并签订联合体协议（按投标文件格式）。联合体协议应明确约定各方拟承担的工作和责任。 （5）已在云平台系统参与本项目并获取招标文件。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采购包1（海珠湿地保护和基础设施建设项目检测）：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投标报价是固定价且是唯一的，未超过本项目采购预算金额（最高限价）</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采购包1(海珠湿地保护和基础设施建设项目检测):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技术部分45.0分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检测方案1 (1.5分)</w:t>
            </w:r>
          </w:p>
        </w:tc>
        <w:tc>
          <w:tcPr>
            <w:tcW w:type="dxa" w:w="5076"/>
          </w:tcPr>
          <w:p>
            <w:pPr>
              <w:jc w:val="left"/>
            </w:pPr>
            <w:r>
              <w:rPr/>
              <w:t>评标委员会根据投标人提供的总体方案进行综合评审，方案应包括： （1）检测方法与规范； （2）检测方案服务内容； （3）工作协调措施； 提供全部内容得1.5分，每缺1项扣0.5分。</w:t>
            </w:r>
          </w:p>
        </w:tc>
      </w:tr>
      <w:tr>
        <w:tc>
          <w:tcPr>
            <w:tcW w:type="dxa" w:w="922"/>
            <w:gridSpan w:val="2"/>
            <w:vMerge/>
          </w:tcPr>
          <w:p/>
        </w:tc>
        <w:tc>
          <w:tcPr>
            <w:tcW w:type="dxa" w:w="2307"/>
          </w:tcPr>
          <w:p>
            <w:pPr>
              <w:jc w:val="left"/>
            </w:pPr>
            <w:r>
              <w:rPr/>
              <w:t>检测方案2 (15.0分)</w:t>
            </w:r>
            <w:r>
              <w:rPr/>
              <w:t>，（等次分值选择：</w:t>
            </w:r>
            <w:r>
              <w:rPr/>
              <w:t>0.0;</w:t>
            </w:r>
            <w:r>
              <w:rPr/>
              <w:t>1.0;</w:t>
            </w:r>
            <w:r>
              <w:rPr/>
              <w:t>5.0;</w:t>
            </w:r>
            <w:r>
              <w:rPr/>
              <w:t>10.0;</w:t>
            </w:r>
            <w:r>
              <w:rPr/>
              <w:t>15.0;</w:t>
            </w:r>
            <w:r>
              <w:rPr/>
              <w:t>）</w:t>
            </w:r>
          </w:p>
        </w:tc>
        <w:tc>
          <w:tcPr>
            <w:tcW w:type="dxa" w:w="5076"/>
          </w:tcPr>
          <w:p>
            <w:pPr>
              <w:jc w:val="left"/>
            </w:pPr>
            <w:r>
              <w:rPr/>
              <w:t>评标委员会根据投标人提供检测方案1的详细内容进行综合评审： （1）检测方案对需求充分响应，对需求全面剖析，针对相关验收、成果提交要求全面理解，分别提出具备专业性、实用性的实施方案并有合理可行保障措施，有效保障本项目实施，有利于实现服务效果，得15分； （2）检测方案对需求充分响应，对需求全面剖析，针对相关验收、成果提交要求进行理解，提出部分具备专业性、实用性的实施方案或者部分合理可行保障措施，基本保障本项目服务实施，基本满足服务效果，得10分； （3）检测方案对需求充分响应，对部分需求进行剖析，针对相关验收、成果提交要求的理解不全面，提出部分具备专业性、实用性的实施方案或者部分合理可行保障措施，基本保障本项目服务实施，部分满足服务效果，得5分； （4）检测方案对需求响应不充分，没有对需求进行剖析，没有提出体现专业性或针对性的措施，或者措施方案不合理不可行的，无法保障本项目服务实施，达不到服务效果，得1分； （5）无提供的得0分。</w:t>
            </w:r>
          </w:p>
        </w:tc>
      </w:tr>
      <w:tr>
        <w:tc>
          <w:tcPr>
            <w:tcW w:type="dxa" w:w="922"/>
            <w:gridSpan w:val="2"/>
            <w:vMerge/>
          </w:tcPr>
          <w:p/>
        </w:tc>
        <w:tc>
          <w:tcPr>
            <w:tcW w:type="dxa" w:w="2307"/>
          </w:tcPr>
          <w:p>
            <w:pPr>
              <w:jc w:val="left"/>
            </w:pPr>
            <w:r>
              <w:rPr/>
              <w:t>重点和难点分析及应对措施1 (1.5分)</w:t>
            </w:r>
          </w:p>
        </w:tc>
        <w:tc>
          <w:tcPr>
            <w:tcW w:type="dxa" w:w="5076"/>
          </w:tcPr>
          <w:p>
            <w:pPr>
              <w:jc w:val="left"/>
            </w:pPr>
            <w:r>
              <w:rPr/>
              <w:t>评标委员会根据投标人提供的重点和难点分析及应对措施进行综合评审，应包括： （1）重点和难点分析； （2）应对措施。 （3）合理化建议 提供全部内容得1.5分，每缺1项扣0.5分。</w:t>
            </w:r>
          </w:p>
        </w:tc>
      </w:tr>
      <w:tr>
        <w:tc>
          <w:tcPr>
            <w:tcW w:type="dxa" w:w="922"/>
            <w:gridSpan w:val="2"/>
            <w:vMerge/>
          </w:tcPr>
          <w:p/>
        </w:tc>
        <w:tc>
          <w:tcPr>
            <w:tcW w:type="dxa" w:w="2307"/>
          </w:tcPr>
          <w:p>
            <w:pPr>
              <w:jc w:val="left"/>
            </w:pPr>
            <w:r>
              <w:rPr/>
              <w:t>重点和难点分析及应对措施2 (5.0分)</w:t>
            </w:r>
            <w:r>
              <w:rPr/>
              <w:t>，（等次分值选择：</w:t>
            </w:r>
            <w:r>
              <w:rPr/>
              <w:t>0.0;</w:t>
            </w:r>
            <w:r>
              <w:rPr/>
              <w:t>1.0;</w:t>
            </w:r>
            <w:r>
              <w:rPr/>
              <w:t>3.0;</w:t>
            </w:r>
            <w:r>
              <w:rPr/>
              <w:t>5.0;</w:t>
            </w:r>
            <w:r>
              <w:rPr/>
              <w:t>）</w:t>
            </w:r>
          </w:p>
        </w:tc>
        <w:tc>
          <w:tcPr>
            <w:tcW w:type="dxa" w:w="5076"/>
          </w:tcPr>
          <w:p>
            <w:pPr>
              <w:jc w:val="left"/>
            </w:pPr>
            <w:r>
              <w:rPr/>
              <w:t>评标委员会根据投标人提供重点和难点分析及应对措施1的详细内容进行综合评审： （1）对项目各阶段的重点和难点问题分析透彻、清晰，提出应对措施具体、可行性强的，有效保障本项目实施，有利于实现服务效果，得5分； （2）对项目各阶段的重点和难点问题分析基本透彻、清晰，提出应对措施可行的，基本保障本项目实施，基本实现服务效果，得3分； （3）对项目各阶段的重点和难点问题分析不够透彻、清晰，提出应对措施具有一定可行性的，部分保障本项目实施，部分实现服务效果，得1分；  （4）对项目各阶段的重点和难点问题分析没有针对性，应对措施不可行的，无法保障本项目实施，无法实现服务效果，得 0 分。</w:t>
            </w:r>
          </w:p>
        </w:tc>
      </w:tr>
      <w:tr>
        <w:tc>
          <w:tcPr>
            <w:tcW w:type="dxa" w:w="922"/>
            <w:gridSpan w:val="2"/>
            <w:vMerge/>
          </w:tcPr>
          <w:p/>
        </w:tc>
        <w:tc>
          <w:tcPr>
            <w:tcW w:type="dxa" w:w="2307"/>
          </w:tcPr>
          <w:p>
            <w:pPr>
              <w:jc w:val="left"/>
            </w:pPr>
            <w:r>
              <w:rPr/>
              <w:t>检测进度、质量保障措施1 (2.0分)</w:t>
            </w:r>
          </w:p>
        </w:tc>
        <w:tc>
          <w:tcPr>
            <w:tcW w:type="dxa" w:w="5076"/>
          </w:tcPr>
          <w:p>
            <w:pPr>
              <w:jc w:val="left"/>
            </w:pPr>
            <w:r>
              <w:rPr/>
              <w:t>评标委员会根据投标人提供的检测进度、质量保障措施案进行综合评审，方案应包括： （1）检测进度计划 （2）进度保障措施 （3）质量保证体系 （4）质量保证措施 提供全部内容得2分，每缺1项扣0.5分。</w:t>
            </w:r>
          </w:p>
        </w:tc>
      </w:tr>
      <w:tr>
        <w:tc>
          <w:tcPr>
            <w:tcW w:type="dxa" w:w="922"/>
            <w:gridSpan w:val="2"/>
            <w:vMerge/>
          </w:tcPr>
          <w:p/>
        </w:tc>
        <w:tc>
          <w:tcPr>
            <w:tcW w:type="dxa" w:w="2307"/>
          </w:tcPr>
          <w:p>
            <w:pPr>
              <w:jc w:val="left"/>
            </w:pPr>
            <w:r>
              <w:rPr/>
              <w:t>检测进度、质量保障措施2 (10.0分)</w:t>
            </w:r>
            <w:r>
              <w:rPr/>
              <w:t>，（等次分值选择：</w:t>
            </w:r>
            <w:r>
              <w:rPr/>
              <w:t>0.0;</w:t>
            </w:r>
            <w:r>
              <w:rPr/>
              <w:t>4.0;</w:t>
            </w:r>
            <w:r>
              <w:rPr/>
              <w:t>7.0;</w:t>
            </w:r>
            <w:r>
              <w:rPr/>
              <w:t>10.0;</w:t>
            </w:r>
            <w:r>
              <w:rPr/>
              <w:t>）</w:t>
            </w:r>
          </w:p>
        </w:tc>
        <w:tc>
          <w:tcPr>
            <w:tcW w:type="dxa" w:w="5076"/>
          </w:tcPr>
          <w:p>
            <w:pPr>
              <w:jc w:val="left"/>
            </w:pPr>
            <w:r>
              <w:rPr/>
              <w:t>评标委员会根据投标人提供检测进度、质量保障措施1的详细内容进行综合评审： （1）检测进度计划及保障措施、质量保障体系及保障措施对需求响应全面具体、针对项目全部重点难点全面剖析，能针对全部重点难点提出科学合理、可直接执行的实施方案，有效保障本项目实施，有利于实现服务效果，得10分； （2）检测进度计划及保障措施、质量保障体系及保障措施对需求响应全面具体，针对部分重点难点进剖析，并提出具备执行条件的针对措施，基本保障本项目服务实施，基本满足服务效果，得7分； （3））检测进度计划及保障措施、质量保障体系及保障措施对需求响应不全面，只针对少部分重点或难点问题进行解析或没有剖析项目重点难点问题，提出的措施没有针对性或难以施行的，无法保障本项目服务实施，达不到服务效果，得4分； （4）无提供的得0分。</w:t>
            </w:r>
          </w:p>
        </w:tc>
      </w:tr>
      <w:tr>
        <w:tc>
          <w:tcPr>
            <w:tcW w:type="dxa" w:w="922"/>
            <w:gridSpan w:val="2"/>
            <w:vMerge/>
          </w:tcPr>
          <w:p/>
        </w:tc>
        <w:tc>
          <w:tcPr>
            <w:tcW w:type="dxa" w:w="2307"/>
          </w:tcPr>
          <w:p>
            <w:pPr>
              <w:jc w:val="left"/>
            </w:pPr>
            <w:r>
              <w:rPr/>
              <w:t>拟投入的检测设备 (10.0分)</w:t>
            </w:r>
            <w:r>
              <w:rPr/>
              <w:t>，（等次分值选择：</w:t>
            </w:r>
            <w:r>
              <w:rPr/>
              <w:t>0.0;</w:t>
            </w:r>
            <w:r>
              <w:rPr/>
              <w:t>4.0;</w:t>
            </w:r>
            <w:r>
              <w:rPr/>
              <w:t>7.0;</w:t>
            </w:r>
            <w:r>
              <w:rPr/>
              <w:t>10.0;</w:t>
            </w:r>
            <w:r>
              <w:rPr/>
              <w:t>）</w:t>
            </w:r>
          </w:p>
        </w:tc>
        <w:tc>
          <w:tcPr>
            <w:tcW w:type="dxa" w:w="5076"/>
          </w:tcPr>
          <w:p>
            <w:pPr>
              <w:jc w:val="left"/>
            </w:pPr>
            <w:r>
              <w:rPr/>
              <w:t>（1）设备满足检测和工期需要，设备年检合格，并且全部设备属于自有，得10分； （2）设备满足检测和工期需要，设备年检合格，90%（含90%）以上设备属于自有，得7分； （3）设备满足检测和工期需要，设备年检合格，60%（含60%）以上设备属于自有，得4分； （4）设备满足检测和工期需要，设备年检合格，60%（不含60%）以下设备属于自有，得0分。 注：检测设备的情况说明：①要求投标人同时提供发票（或租赁合同）和检定校准证书扫描件；②检定证书送检单位必须与投标人一致，否则不予认可；③如为联合体投标人，指联合体任意一方提供均可得分。</w:t>
            </w:r>
          </w:p>
        </w:tc>
      </w:tr>
      <w:tr>
        <w:tc>
          <w:tcPr>
            <w:tcW w:type="dxa" w:w="922"/>
            <w:gridSpan w:val="2"/>
            <w:vMerge w:val="restart"/>
          </w:tcPr>
          <w:p>
            <w:pPr>
              <w:jc w:val="center"/>
            </w:pPr>
            <w:r>
              <w:rPr/>
              <w:t>商务部分</w:t>
            </w:r>
          </w:p>
        </w:tc>
        <w:tc>
          <w:tcPr>
            <w:tcW w:type="dxa" w:w="2307"/>
          </w:tcPr>
          <w:p>
            <w:pPr>
              <w:jc w:val="left"/>
            </w:pPr>
            <w:r>
              <w:rPr/>
              <w:t>类似项目业绩 (5.0分)</w:t>
            </w:r>
          </w:p>
        </w:tc>
        <w:tc>
          <w:tcPr>
            <w:tcW w:type="dxa" w:w="5076"/>
          </w:tcPr>
          <w:p>
            <w:pPr>
              <w:jc w:val="left"/>
            </w:pPr>
            <w:r>
              <w:rPr/>
              <w:t>投标人（如为联合体，指联合体主办方）2021年1月1日至今已完成的类似检测项目业绩，每项得1分，此项最多5分。 注：类似项目业绩是指包含本次招标内容中的一项或多项的建设工程质量检测业绩，需同时提供中标通知书（或免招标证明）扫描件、服务合同证明材料扫描件，业绩时间以合同签订时间为准。</w:t>
            </w:r>
          </w:p>
        </w:tc>
      </w:tr>
      <w:tr>
        <w:tc>
          <w:tcPr>
            <w:tcW w:type="dxa" w:w="922"/>
            <w:gridSpan w:val="2"/>
            <w:vMerge/>
          </w:tcPr>
          <w:p/>
        </w:tc>
        <w:tc>
          <w:tcPr>
            <w:tcW w:type="dxa" w:w="2307"/>
          </w:tcPr>
          <w:p>
            <w:pPr>
              <w:jc w:val="left"/>
            </w:pPr>
            <w:r>
              <w:rPr/>
              <w:t>投标人资信 (7.0分)</w:t>
            </w:r>
          </w:p>
        </w:tc>
        <w:tc>
          <w:tcPr>
            <w:tcW w:type="dxa" w:w="5076"/>
          </w:tcPr>
          <w:p>
            <w:pPr>
              <w:jc w:val="left"/>
            </w:pPr>
            <w:r>
              <w:rPr/>
              <w:t>投标人（如为联合体，指联合体主办方）具有质量管理体系、环境管理体系、职业健康安全管理体系认证、诚信管理体系认证、测量管理体系认证并在有效期内得7分；具有其中四项并在有效期内得5分；具有其中三项并在有效期内得3分；其他不得分。本项最多得7分。 注：须提供相关证明材料扫描件。</w:t>
            </w:r>
          </w:p>
        </w:tc>
      </w:tr>
      <w:tr>
        <w:tc>
          <w:tcPr>
            <w:tcW w:type="dxa" w:w="922"/>
            <w:gridSpan w:val="2"/>
            <w:vMerge/>
          </w:tcPr>
          <w:p/>
        </w:tc>
        <w:tc>
          <w:tcPr>
            <w:tcW w:type="dxa" w:w="2307"/>
          </w:tcPr>
          <w:p>
            <w:pPr>
              <w:jc w:val="left"/>
            </w:pPr>
            <w:r>
              <w:rPr/>
              <w:t>项目负责人 (13.0分)</w:t>
            </w:r>
          </w:p>
        </w:tc>
        <w:tc>
          <w:tcPr>
            <w:tcW w:type="dxa" w:w="5076"/>
          </w:tcPr>
          <w:p>
            <w:pPr>
              <w:jc w:val="left"/>
            </w:pPr>
            <w:r>
              <w:rPr/>
              <w:t>投标人(如为联合体，指联合体主办方)项目负责人： 1、具有注册土木工程师（岩土）执业资格证书得4分。  2、具有一级注册结构工程师执业资格证书得4分。 3、具有与本项目检测相关的省建设工程质量安全检测和鉴定协会颁发的地基与基桩承载力检测(静载荷试验)、基桩承载力与完整性检测 (高应变)、桩身完整性检测 (低应变)、桩身完整性检测(声波透射)、桩身完整性检测(钻孔取芯[编审])、岩土工程室内试验、岩土工程原位测试、混凝土结构实体检测、砌体结构检测、混凝土构件结构性能、建筑节能工程检测、常用非金属材料检测、常用金属材料检测、省市政行业协会颁发的城镇排水管道检测的检测员证的每项得0.5；此项最高得5分。 上述三项合计最高得13分。  注：拟投入本项目的项目负责人、技术负责人及项目主要技术人员之间不得兼任，且须为投标单位在职职工（以社保证明为准），需提供相应有效证书、身份证等证明文件，以及投标截止时间前近一个月（2024年02月社保证明，社保证明需能反映参保人在该投标单位缴纳社保），否则不得分。</w:t>
            </w:r>
          </w:p>
        </w:tc>
      </w:tr>
      <w:tr>
        <w:tc>
          <w:tcPr>
            <w:tcW w:type="dxa" w:w="922"/>
            <w:gridSpan w:val="2"/>
            <w:vMerge/>
          </w:tcPr>
          <w:p/>
        </w:tc>
        <w:tc>
          <w:tcPr>
            <w:tcW w:type="dxa" w:w="2307"/>
          </w:tcPr>
          <w:p>
            <w:pPr>
              <w:jc w:val="left"/>
            </w:pPr>
            <w:r>
              <w:rPr/>
              <w:t>项目技术负责人 (13.0分)</w:t>
            </w:r>
          </w:p>
        </w:tc>
        <w:tc>
          <w:tcPr>
            <w:tcW w:type="dxa" w:w="5076"/>
          </w:tcPr>
          <w:p>
            <w:pPr>
              <w:jc w:val="left"/>
            </w:pPr>
            <w:r>
              <w:rPr/>
              <w:t>投标人(如为联合体，指联合体主办方)技术负责人: 1、具有注册土木工程师（岩土）执业资格证书得4分。 2、具有一级注册结构工程师执业资格证书得4分。 3、具有与本项目检测相关的省建设工程质量安全检测和鉴定协会颁发的地基与基桩承载力检测(静载荷试验)、基桩承载力与完整性检测 (高应变)、桩身完整性检测 (低应变)、桩身完整性检测(声波透射)、桩身完整性检测(钻孔取芯[编审])、岩土工程室内试验、岩土工程原位测试、混凝土结构实体检测、砌体结构检测、混凝土构件结构性能、建筑节能工程检测、常用非金属材料检测、常用金属材料检测、省市政行业协会颁发的城镇排水管道检测的检测员证的每项得0.5；此项最高得5分。 上述三项合计最高得13分。  注：拟投入本项目的项目负责人、技术负责人及项目主要技术人员之间不得兼任，且须为投标单位在职职工（以社保证明为准），需提供相应有效证书、身份证等证明文件，以及投标截止时间前近一个月（2024年02月社保证明，社保证明需能反映参保人在该投标单位缴纳社保），否则不得分。</w:t>
            </w:r>
          </w:p>
        </w:tc>
      </w:tr>
      <w:tr>
        <w:tc>
          <w:tcPr>
            <w:tcW w:type="dxa" w:w="922"/>
            <w:gridSpan w:val="2"/>
            <w:vMerge/>
          </w:tcPr>
          <w:p/>
        </w:tc>
        <w:tc>
          <w:tcPr>
            <w:tcW w:type="dxa" w:w="2307"/>
          </w:tcPr>
          <w:p>
            <w:pPr>
              <w:jc w:val="left"/>
            </w:pPr>
            <w:r>
              <w:rPr/>
              <w:t>主要技术人员 (2.0分)</w:t>
            </w:r>
          </w:p>
        </w:tc>
        <w:tc>
          <w:tcPr>
            <w:tcW w:type="dxa" w:w="5076"/>
          </w:tcPr>
          <w:p>
            <w:pPr>
              <w:jc w:val="left"/>
            </w:pPr>
            <w:r>
              <w:rPr/>
              <w:t>投标人(如为联合体，指联合体任意一方提供均可得分)主要技术人员： 1、具有与本项目检测相关的省建设工程质量安全检测和鉴定协会颁发的检测鉴定培训合格证且具有高级工程师或以上职称人员，每人的0.5分，本项最多得2分。 注：拟投入本项目的项目负责人、技术负责人及项目主要技术人员之间不得兼任，且须为投标单位在职职工（以社保证明为准），需提供相应有效证书、身份证等证明文件，以及投标截止时间前近一个月（2024年02月社保证明，社保证明需能反映参保人在该投标单位缴纳社保），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color w:val="000000"/>
          <w:sz w:val="21"/>
        </w:rPr>
        <w:t>注：</w:t>
      </w:r>
    </w:p>
    <w:p>
      <w:pPr>
        <w:ind w:firstLine="211"/>
        <w:jc w:val="left"/>
      </w:pPr>
      <w:r>
        <w:rPr>
          <w:b/>
          <w:color w:val="000000"/>
          <w:sz w:val="21"/>
        </w:rPr>
        <w:t>1、合同具体事项须根据采购文件的约定及乙方投标文件的承诺执行；</w:t>
      </w:r>
    </w:p>
    <w:p>
      <w:pPr>
        <w:ind w:firstLine="211"/>
        <w:jc w:val="left"/>
      </w:pPr>
    </w:p>
    <w:p>
      <w:pPr>
        <w:jc w:val="center"/>
      </w:pPr>
      <w:r>
        <w:rPr>
          <w:b/>
          <w:color w:val="000000"/>
          <w:sz w:val="28"/>
        </w:rPr>
        <w:t>政府采购合同</w:t>
      </w:r>
    </w:p>
    <w:p>
      <w:pPr>
        <w:jc w:val="center"/>
      </w:pPr>
    </w:p>
    <w:p>
      <w:pPr>
        <w:jc w:val="both"/>
      </w:pPr>
      <w:r>
        <w:rPr>
          <w:color w:val="000000"/>
          <w:sz w:val="21"/>
        </w:rPr>
        <w:t>合同名称：</w:t>
      </w:r>
    </w:p>
    <w:p>
      <w:pPr>
        <w:jc w:val="both"/>
      </w:pPr>
      <w:r>
        <w:rPr>
          <w:color w:val="000000"/>
          <w:sz w:val="21"/>
        </w:rPr>
        <w:t>合同编号：</w:t>
      </w:r>
    </w:p>
    <w:p>
      <w:pPr>
        <w:jc w:val="both"/>
      </w:pPr>
      <w:r>
        <w:rPr>
          <w:color w:val="000000"/>
          <w:sz w:val="21"/>
        </w:rPr>
        <w:t>签约地点：</w:t>
      </w:r>
    </w:p>
    <w:p>
      <w:pPr>
        <w:jc w:val="both"/>
      </w:pPr>
      <w:r>
        <w:rPr>
          <w:color w:val="000000"/>
          <w:sz w:val="21"/>
        </w:rPr>
        <w:t>合同类别：服务</w:t>
      </w:r>
    </w:p>
    <w:p>
      <w:pPr>
        <w:jc w:val="both"/>
      </w:pPr>
      <w:r>
        <w:rPr>
          <w:color w:val="000000"/>
          <w:sz w:val="21"/>
        </w:rPr>
        <w:t>签订日期：</w:t>
      </w:r>
    </w:p>
    <w:p>
      <w:pPr>
        <w:jc w:val="both"/>
      </w:pPr>
      <w:r>
        <w:rPr>
          <w:color w:val="000000"/>
          <w:sz w:val="21"/>
        </w:rPr>
        <w:t>签订类型：单项合同</w:t>
      </w:r>
    </w:p>
    <w:p>
      <w:pPr>
        <w:jc w:val="both"/>
      </w:pPr>
      <w:r>
        <w:rPr>
          <w:color w:val="000000"/>
          <w:sz w:val="21"/>
        </w:rPr>
        <w:t>合同范本：采购合同</w:t>
      </w:r>
    </w:p>
    <w:p>
      <w:pPr>
        <w:jc w:val="both"/>
      </w:pPr>
      <w:r>
        <w:rPr>
          <w:color w:val="000000"/>
          <w:sz w:val="21"/>
        </w:rPr>
        <w:t>合同期限：</w:t>
      </w:r>
      <w:r>
        <w:rPr>
          <w:color w:val="000000"/>
          <w:sz w:val="21"/>
        </w:rPr>
        <w:t>20XX年XX月XX日至20XX年XX月XX日</w:t>
      </w:r>
    </w:p>
    <w:p>
      <w:pPr>
        <w:jc w:val="both"/>
      </w:pPr>
      <w:r>
        <w:rPr>
          <w:color w:val="000000"/>
          <w:sz w:val="21"/>
        </w:rPr>
        <w:t>是否包含涉密条款：否</w:t>
      </w:r>
    </w:p>
    <w:p>
      <w:pPr>
        <w:jc w:val="both"/>
      </w:pPr>
      <w:r>
        <w:rPr>
          <w:color w:val="000000"/>
          <w:sz w:val="21"/>
        </w:rPr>
        <w:t>备注：</w:t>
      </w:r>
    </w:p>
    <w:p>
      <w:pPr>
        <w:jc w:val="both"/>
      </w:pPr>
    </w:p>
    <w:p>
      <w:pPr>
        <w:jc w:val="both"/>
      </w:pPr>
      <w:r>
        <w:rPr>
          <w:color w:val="000000"/>
          <w:sz w:val="21"/>
        </w:rPr>
        <w:t>甲方（采购人）：</w:t>
      </w:r>
      <w:r>
        <w:rPr>
          <w:color w:val="000000"/>
          <w:sz w:val="21"/>
        </w:rPr>
        <w:t xml:space="preserve">                               </w:t>
      </w:r>
    </w:p>
    <w:p>
      <w:pPr>
        <w:jc w:val="both"/>
      </w:pPr>
      <w:r>
        <w:rPr>
          <w:color w:val="000000"/>
          <w:sz w:val="21"/>
        </w:rPr>
        <w:t>乙方（中标供应商）：</w:t>
      </w:r>
      <w:r>
        <w:rPr>
          <w:color w:val="000000"/>
          <w:sz w:val="21"/>
        </w:rPr>
        <w:t xml:space="preserve">                               </w:t>
      </w:r>
    </w:p>
    <w:p>
      <w:pPr>
        <w:jc w:val="both"/>
      </w:pPr>
      <w:r>
        <w:rPr>
          <w:color w:val="000000"/>
          <w:sz w:val="21"/>
        </w:rPr>
        <w:t xml:space="preserve">    </w:t>
      </w:r>
      <w:r>
        <w:rPr>
          <w:color w:val="000000"/>
          <w:sz w:val="21"/>
        </w:rPr>
        <w:t>根据《中华人民共和国政府采购法》、《中华人民共和国民法典》等相关法律法规及</w:t>
      </w:r>
      <w:r>
        <w:rPr>
          <w:color w:val="000000"/>
          <w:sz w:val="21"/>
          <w:u w:val="single"/>
        </w:rPr>
        <w:t>[项目名称]</w:t>
      </w:r>
      <w:r>
        <w:rPr>
          <w:color w:val="000000"/>
          <w:sz w:val="21"/>
        </w:rPr>
        <w:t>招标文件（项目编号：</w:t>
      </w:r>
      <w:r>
        <w:rPr>
          <w:color w:val="000000"/>
          <w:sz w:val="21"/>
        </w:rPr>
        <w:t>GZGK24D054C0104Z）的要求，经双方协商，本着平等互利和诚实信用的原则，一致同意签订本合同。</w:t>
      </w:r>
    </w:p>
    <w:p>
      <w:pPr>
        <w:jc w:val="both"/>
      </w:pPr>
      <w:r>
        <w:rPr>
          <w:b/>
          <w:color w:val="000000"/>
          <w:sz w:val="21"/>
        </w:rPr>
        <w:t>一、</w:t>
      </w:r>
      <w:r>
        <w:rPr>
          <w:b/>
          <w:color w:val="000000"/>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656"/>
        <w:gridCol w:w="886"/>
        <w:gridCol w:w="1105"/>
        <w:gridCol w:w="1236"/>
        <w:gridCol w:w="992"/>
        <w:gridCol w:w="779"/>
        <w:gridCol w:w="904"/>
        <w:gridCol w:w="961"/>
        <w:gridCol w:w="781"/>
      </w:tblGrid>
      <w:tr>
        <w:tc>
          <w:tcPr>
            <w:tcW w:type="dxa" w:w="656"/>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886"/>
            <w:tcBorders>
              <w:top w:val="single" w:color="000000" w:sz="4"/>
              <w:left w:val="none" w:color="000000" w:sz="4"/>
              <w:bottom w:val="single" w:color="000000" w:sz="4"/>
              <w:right w:val="single" w:color="000000" w:sz="4"/>
            </w:tcBorders>
            <w:vAlign w:val="top"/>
          </w:tcPr>
          <w:p>
            <w:pPr>
              <w:jc w:val="center"/>
            </w:pPr>
            <w:r>
              <w:rPr>
                <w:color w:val="000000"/>
                <w:sz w:val="21"/>
              </w:rPr>
              <w:t>品目编码</w:t>
            </w:r>
          </w:p>
        </w:tc>
        <w:tc>
          <w:tcPr>
            <w:tcW w:type="dxa" w:w="1105"/>
            <w:tcBorders>
              <w:top w:val="single" w:color="000000" w:sz="4"/>
              <w:left w:val="none" w:color="000000" w:sz="4"/>
              <w:bottom w:val="single" w:color="000000" w:sz="4"/>
              <w:right w:val="single" w:color="000000" w:sz="4"/>
            </w:tcBorders>
            <w:vAlign w:val="top"/>
          </w:tcPr>
          <w:p>
            <w:pPr>
              <w:jc w:val="center"/>
            </w:pPr>
            <w:r>
              <w:rPr>
                <w:color w:val="000000"/>
                <w:sz w:val="21"/>
              </w:rPr>
              <w:t>品目名称</w:t>
            </w:r>
          </w:p>
        </w:tc>
        <w:tc>
          <w:tcPr>
            <w:tcW w:type="dxa" w:w="1236"/>
            <w:tcBorders>
              <w:top w:val="single" w:color="000000" w:sz="4"/>
              <w:left w:val="none" w:color="000000" w:sz="4"/>
              <w:bottom w:val="single" w:color="000000" w:sz="4"/>
              <w:right w:val="single" w:color="000000" w:sz="4"/>
            </w:tcBorders>
            <w:vAlign w:val="top"/>
          </w:tcPr>
          <w:p>
            <w:pPr>
              <w:jc w:val="center"/>
            </w:pPr>
            <w:r>
              <w:rPr>
                <w:color w:val="000000"/>
                <w:sz w:val="21"/>
              </w:rPr>
              <w:t>采购标的</w:t>
            </w:r>
          </w:p>
        </w:tc>
        <w:tc>
          <w:tcPr>
            <w:tcW w:type="dxa" w:w="992"/>
            <w:tcBorders>
              <w:top w:val="single" w:color="000000" w:sz="4"/>
              <w:left w:val="none" w:color="000000" w:sz="4"/>
              <w:bottom w:val="single" w:color="000000" w:sz="4"/>
              <w:right w:val="single" w:color="000000" w:sz="4"/>
            </w:tcBorders>
            <w:vAlign w:val="top"/>
          </w:tcPr>
          <w:p>
            <w:pPr>
              <w:jc w:val="center"/>
            </w:pPr>
            <w:r>
              <w:rPr>
                <w:color w:val="000000"/>
                <w:sz w:val="21"/>
              </w:rPr>
              <w:t>采购数量</w:t>
            </w:r>
          </w:p>
        </w:tc>
        <w:tc>
          <w:tcPr>
            <w:tcW w:type="dxa" w:w="779"/>
            <w:tcBorders>
              <w:top w:val="single" w:color="000000" w:sz="4"/>
              <w:left w:val="none" w:color="000000" w:sz="4"/>
              <w:bottom w:val="single" w:color="000000" w:sz="4"/>
              <w:right w:val="single" w:color="000000" w:sz="4"/>
            </w:tcBorders>
            <w:vAlign w:val="top"/>
          </w:tcPr>
          <w:p>
            <w:pPr>
              <w:jc w:val="center"/>
            </w:pPr>
            <w:r>
              <w:rPr>
                <w:color w:val="000000"/>
                <w:sz w:val="21"/>
              </w:rPr>
              <w:t>计量单位</w:t>
            </w:r>
          </w:p>
        </w:tc>
        <w:tc>
          <w:tcPr>
            <w:tcW w:type="dxa" w:w="904"/>
            <w:tcBorders>
              <w:top w:val="single" w:color="000000" w:sz="4"/>
              <w:left w:val="none" w:color="000000" w:sz="4"/>
              <w:bottom w:val="single" w:color="000000" w:sz="4"/>
              <w:right w:val="single" w:color="000000" w:sz="4"/>
            </w:tcBorders>
            <w:vAlign w:val="top"/>
          </w:tcPr>
          <w:p>
            <w:pPr>
              <w:jc w:val="center"/>
            </w:pPr>
            <w:r>
              <w:rPr>
                <w:color w:val="000000"/>
                <w:sz w:val="21"/>
              </w:rPr>
              <w:t>服务范围</w:t>
            </w:r>
          </w:p>
        </w:tc>
        <w:tc>
          <w:tcPr>
            <w:tcW w:type="dxa" w:w="961"/>
            <w:tcBorders>
              <w:top w:val="single" w:color="000000" w:sz="4"/>
              <w:left w:val="none" w:color="000000" w:sz="4"/>
              <w:bottom w:val="single" w:color="000000" w:sz="4"/>
              <w:right w:val="single" w:color="000000" w:sz="4"/>
            </w:tcBorders>
            <w:vAlign w:val="top"/>
          </w:tcPr>
          <w:p>
            <w:pPr>
              <w:jc w:val="center"/>
            </w:pPr>
            <w:r>
              <w:rPr>
                <w:color w:val="000000"/>
                <w:sz w:val="21"/>
              </w:rPr>
              <w:t>单价（元）</w:t>
            </w:r>
          </w:p>
        </w:tc>
        <w:tc>
          <w:tcPr>
            <w:tcW w:type="dxa" w:w="781"/>
            <w:tcBorders>
              <w:top w:val="single" w:color="000000" w:sz="4"/>
              <w:left w:val="none" w:color="000000" w:sz="4"/>
              <w:bottom w:val="single" w:color="000000" w:sz="4"/>
              <w:right w:val="single" w:color="000000" w:sz="4"/>
            </w:tcBorders>
            <w:vAlign w:val="top"/>
          </w:tcPr>
          <w:p>
            <w:pPr>
              <w:jc w:val="center"/>
            </w:pPr>
            <w:r>
              <w:rPr>
                <w:color w:val="000000"/>
                <w:sz w:val="21"/>
              </w:rPr>
              <w:t>金额（元）</w:t>
            </w:r>
          </w:p>
        </w:tc>
      </w:tr>
      <w:tr>
        <w:tc>
          <w:tcPr>
            <w:tcW w:type="dxa" w:w="65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886"/>
            <w:tcBorders>
              <w:top w:val="none" w:color="000000" w:sz="4"/>
              <w:left w:val="none" w:color="000000" w:sz="4"/>
              <w:bottom w:val="single" w:color="000000" w:sz="4"/>
              <w:right w:val="single" w:color="000000" w:sz="4"/>
            </w:tcBorders>
            <w:vAlign w:val="top"/>
          </w:tcPr>
          <w:p>
            <w:pPr>
              <w:jc w:val="both"/>
            </w:pPr>
          </w:p>
        </w:tc>
        <w:tc>
          <w:tcPr>
            <w:tcW w:type="dxa" w:w="1105"/>
            <w:tcBorders>
              <w:top w:val="none" w:color="000000" w:sz="4"/>
              <w:left w:val="none" w:color="000000" w:sz="4"/>
              <w:bottom w:val="single" w:color="000000" w:sz="4"/>
              <w:right w:val="single" w:color="000000" w:sz="4"/>
            </w:tcBorders>
            <w:vAlign w:val="top"/>
          </w:tcPr>
          <w:p>
            <w:pPr>
              <w:jc w:val="both"/>
            </w:pPr>
          </w:p>
        </w:tc>
        <w:tc>
          <w:tcPr>
            <w:tcW w:type="dxa" w:w="1236"/>
            <w:tcBorders>
              <w:top w:val="none" w:color="000000" w:sz="4"/>
              <w:left w:val="none" w:color="000000" w:sz="4"/>
              <w:bottom w:val="single" w:color="000000" w:sz="4"/>
              <w:right w:val="single" w:color="000000" w:sz="4"/>
            </w:tcBorders>
            <w:vAlign w:val="top"/>
          </w:tcPr>
          <w:p>
            <w:pPr>
              <w:jc w:val="both"/>
            </w:pPr>
          </w:p>
        </w:tc>
        <w:tc>
          <w:tcPr>
            <w:tcW w:type="dxa" w:w="992"/>
            <w:tcBorders>
              <w:top w:val="none" w:color="000000" w:sz="4"/>
              <w:left w:val="none" w:color="000000" w:sz="4"/>
              <w:bottom w:val="single" w:color="000000" w:sz="4"/>
              <w:right w:val="single" w:color="000000" w:sz="4"/>
            </w:tcBorders>
            <w:vAlign w:val="top"/>
          </w:tcPr>
          <w:p>
            <w:pPr>
              <w:jc w:val="both"/>
            </w:pPr>
          </w:p>
        </w:tc>
        <w:tc>
          <w:tcPr>
            <w:tcW w:type="dxa" w:w="779"/>
            <w:tcBorders>
              <w:top w:val="none" w:color="000000" w:sz="4"/>
              <w:left w:val="none" w:color="000000" w:sz="4"/>
              <w:bottom w:val="single" w:color="000000" w:sz="4"/>
              <w:right w:val="single" w:color="000000" w:sz="4"/>
            </w:tcBorders>
            <w:vAlign w:val="top"/>
          </w:tcPr>
          <w:p>
            <w:pPr>
              <w:jc w:val="both"/>
            </w:pPr>
          </w:p>
        </w:tc>
        <w:tc>
          <w:tcPr>
            <w:tcW w:type="dxa" w:w="904"/>
            <w:tcBorders>
              <w:top w:val="none" w:color="000000" w:sz="4"/>
              <w:left w:val="none" w:color="000000" w:sz="4"/>
              <w:bottom w:val="single" w:color="000000" w:sz="4"/>
              <w:right w:val="single" w:color="000000" w:sz="4"/>
            </w:tcBorders>
            <w:vAlign w:val="top"/>
          </w:tcPr>
          <w:p>
            <w:pPr>
              <w:jc w:val="both"/>
            </w:pP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781"/>
            <w:tcBorders>
              <w:top w:val="none" w:color="000000" w:sz="4"/>
              <w:left w:val="none" w:color="000000" w:sz="4"/>
              <w:bottom w:val="single" w:color="000000" w:sz="4"/>
              <w:right w:val="single" w:color="000000" w:sz="4"/>
            </w:tcBorders>
            <w:vAlign w:val="top"/>
          </w:tcPr>
          <w:p>
            <w:pPr>
              <w:jc w:val="both"/>
            </w:pPr>
          </w:p>
        </w:tc>
      </w:tr>
      <w:tr>
        <w:tc>
          <w:tcPr>
            <w:tcW w:type="dxa" w:w="656"/>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886"/>
            <w:tcBorders>
              <w:top w:val="none" w:color="000000" w:sz="4"/>
              <w:left w:val="none" w:color="000000" w:sz="4"/>
              <w:bottom w:val="single" w:color="000000" w:sz="4"/>
              <w:right w:val="single" w:color="000000" w:sz="4"/>
            </w:tcBorders>
            <w:vAlign w:val="top"/>
          </w:tcPr>
          <w:p>
            <w:pPr>
              <w:jc w:val="both"/>
            </w:pPr>
          </w:p>
        </w:tc>
        <w:tc>
          <w:tcPr>
            <w:tcW w:type="dxa" w:w="1105"/>
            <w:tcBorders>
              <w:top w:val="none" w:color="000000" w:sz="4"/>
              <w:left w:val="none" w:color="000000" w:sz="4"/>
              <w:bottom w:val="single" w:color="000000" w:sz="4"/>
              <w:right w:val="single" w:color="000000" w:sz="4"/>
            </w:tcBorders>
            <w:vAlign w:val="top"/>
          </w:tcPr>
          <w:p>
            <w:pPr>
              <w:jc w:val="both"/>
            </w:pPr>
          </w:p>
        </w:tc>
        <w:tc>
          <w:tcPr>
            <w:tcW w:type="dxa" w:w="1236"/>
            <w:tcBorders>
              <w:top w:val="none" w:color="000000" w:sz="4"/>
              <w:left w:val="none" w:color="000000" w:sz="4"/>
              <w:bottom w:val="single" w:color="000000" w:sz="4"/>
              <w:right w:val="single" w:color="000000" w:sz="4"/>
            </w:tcBorders>
            <w:vAlign w:val="top"/>
          </w:tcPr>
          <w:p>
            <w:pPr>
              <w:jc w:val="both"/>
            </w:pPr>
          </w:p>
        </w:tc>
        <w:tc>
          <w:tcPr>
            <w:tcW w:type="dxa" w:w="992"/>
            <w:tcBorders>
              <w:top w:val="none" w:color="000000" w:sz="4"/>
              <w:left w:val="none" w:color="000000" w:sz="4"/>
              <w:bottom w:val="single" w:color="000000" w:sz="4"/>
              <w:right w:val="single" w:color="000000" w:sz="4"/>
            </w:tcBorders>
            <w:vAlign w:val="top"/>
          </w:tcPr>
          <w:p>
            <w:pPr>
              <w:jc w:val="both"/>
            </w:pPr>
          </w:p>
        </w:tc>
        <w:tc>
          <w:tcPr>
            <w:tcW w:type="dxa" w:w="779"/>
            <w:tcBorders>
              <w:top w:val="none" w:color="000000" w:sz="4"/>
              <w:left w:val="none" w:color="000000" w:sz="4"/>
              <w:bottom w:val="single" w:color="000000" w:sz="4"/>
              <w:right w:val="single" w:color="000000" w:sz="4"/>
            </w:tcBorders>
            <w:vAlign w:val="top"/>
          </w:tcPr>
          <w:p>
            <w:pPr>
              <w:jc w:val="both"/>
            </w:pPr>
          </w:p>
        </w:tc>
        <w:tc>
          <w:tcPr>
            <w:tcW w:type="dxa" w:w="904"/>
            <w:tcBorders>
              <w:top w:val="none" w:color="000000" w:sz="4"/>
              <w:left w:val="none" w:color="000000" w:sz="4"/>
              <w:bottom w:val="single" w:color="000000" w:sz="4"/>
              <w:right w:val="single" w:color="000000" w:sz="4"/>
            </w:tcBorders>
            <w:vAlign w:val="top"/>
          </w:tcPr>
          <w:p>
            <w:pPr>
              <w:jc w:val="both"/>
            </w:pP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781"/>
            <w:tcBorders>
              <w:top w:val="none" w:color="000000" w:sz="4"/>
              <w:left w:val="none" w:color="000000" w:sz="4"/>
              <w:bottom w:val="single" w:color="000000" w:sz="4"/>
              <w:right w:val="single" w:color="000000" w:sz="4"/>
            </w:tcBorders>
            <w:vAlign w:val="top"/>
          </w:tcPr>
          <w:p>
            <w:pPr>
              <w:jc w:val="both"/>
            </w:pPr>
          </w:p>
        </w:tc>
      </w:tr>
      <w:tr>
        <w:tc>
          <w:tcPr>
            <w:tcW w:type="dxa" w:w="656"/>
            <w:tcBorders>
              <w:top w:val="none" w:color="000000" w:sz="4"/>
              <w:left w:val="single" w:color="000000" w:sz="4"/>
              <w:bottom w:val="single" w:color="000000" w:sz="4"/>
              <w:right w:val="single" w:color="000000" w:sz="4"/>
            </w:tcBorders>
            <w:vAlign w:val="top"/>
          </w:tcPr>
          <w:p>
            <w:pPr>
              <w:jc w:val="center"/>
            </w:pPr>
            <w:r>
              <w:rPr>
                <w:color w:val="000000"/>
                <w:sz w:val="21"/>
              </w:rPr>
              <w:t>……</w:t>
            </w:r>
          </w:p>
        </w:tc>
        <w:tc>
          <w:tcPr>
            <w:tcW w:type="dxa" w:w="886"/>
            <w:tcBorders>
              <w:top w:val="none" w:color="000000" w:sz="4"/>
              <w:left w:val="none" w:color="000000" w:sz="4"/>
              <w:bottom w:val="single" w:color="000000" w:sz="4"/>
              <w:right w:val="single" w:color="000000" w:sz="4"/>
            </w:tcBorders>
            <w:vAlign w:val="top"/>
          </w:tcPr>
          <w:p>
            <w:pPr>
              <w:jc w:val="both"/>
            </w:pPr>
          </w:p>
        </w:tc>
        <w:tc>
          <w:tcPr>
            <w:tcW w:type="dxa" w:w="1105"/>
            <w:tcBorders>
              <w:top w:val="none" w:color="000000" w:sz="4"/>
              <w:left w:val="none" w:color="000000" w:sz="4"/>
              <w:bottom w:val="single" w:color="000000" w:sz="4"/>
              <w:right w:val="single" w:color="000000" w:sz="4"/>
            </w:tcBorders>
            <w:vAlign w:val="top"/>
          </w:tcPr>
          <w:p>
            <w:pPr>
              <w:jc w:val="both"/>
            </w:pPr>
          </w:p>
        </w:tc>
        <w:tc>
          <w:tcPr>
            <w:tcW w:type="dxa" w:w="1236"/>
            <w:tcBorders>
              <w:top w:val="none" w:color="000000" w:sz="4"/>
              <w:left w:val="none" w:color="000000" w:sz="4"/>
              <w:bottom w:val="single" w:color="000000" w:sz="4"/>
              <w:right w:val="single" w:color="000000" w:sz="4"/>
            </w:tcBorders>
            <w:vAlign w:val="top"/>
          </w:tcPr>
          <w:p>
            <w:pPr>
              <w:jc w:val="both"/>
            </w:pPr>
          </w:p>
        </w:tc>
        <w:tc>
          <w:tcPr>
            <w:tcW w:type="dxa" w:w="992"/>
            <w:tcBorders>
              <w:top w:val="none" w:color="000000" w:sz="4"/>
              <w:left w:val="none" w:color="000000" w:sz="4"/>
              <w:bottom w:val="single" w:color="000000" w:sz="4"/>
              <w:right w:val="single" w:color="000000" w:sz="4"/>
            </w:tcBorders>
            <w:vAlign w:val="top"/>
          </w:tcPr>
          <w:p>
            <w:pPr>
              <w:jc w:val="both"/>
            </w:pPr>
          </w:p>
        </w:tc>
        <w:tc>
          <w:tcPr>
            <w:tcW w:type="dxa" w:w="779"/>
            <w:tcBorders>
              <w:top w:val="none" w:color="000000" w:sz="4"/>
              <w:left w:val="none" w:color="000000" w:sz="4"/>
              <w:bottom w:val="single" w:color="000000" w:sz="4"/>
              <w:right w:val="single" w:color="000000" w:sz="4"/>
            </w:tcBorders>
            <w:vAlign w:val="top"/>
          </w:tcPr>
          <w:p>
            <w:pPr>
              <w:jc w:val="both"/>
            </w:pPr>
          </w:p>
        </w:tc>
        <w:tc>
          <w:tcPr>
            <w:tcW w:type="dxa" w:w="904"/>
            <w:tcBorders>
              <w:top w:val="none" w:color="000000" w:sz="4"/>
              <w:left w:val="none" w:color="000000" w:sz="4"/>
              <w:bottom w:val="single" w:color="000000" w:sz="4"/>
              <w:right w:val="single" w:color="000000" w:sz="4"/>
            </w:tcBorders>
            <w:vAlign w:val="top"/>
          </w:tcPr>
          <w:p>
            <w:pPr>
              <w:jc w:val="both"/>
            </w:pP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781"/>
            <w:tcBorders>
              <w:top w:val="none" w:color="000000" w:sz="4"/>
              <w:left w:val="none" w:color="000000" w:sz="4"/>
              <w:bottom w:val="single" w:color="000000" w:sz="4"/>
              <w:right w:val="single" w:color="000000" w:sz="4"/>
            </w:tcBorders>
            <w:vAlign w:val="top"/>
          </w:tcPr>
          <w:p>
            <w:pPr>
              <w:jc w:val="both"/>
            </w:pPr>
          </w:p>
        </w:tc>
      </w:tr>
    </w:tbl>
    <w:p>
      <w:pPr>
        <w:jc w:val="both"/>
      </w:pPr>
      <w:r>
        <w:rPr>
          <w:b/>
          <w:color w:val="000000"/>
          <w:sz w:val="21"/>
        </w:rPr>
        <w:t>二、</w:t>
      </w:r>
      <w:r>
        <w:rPr>
          <w:b/>
          <w:color w:val="000000"/>
          <w:sz w:val="21"/>
        </w:rPr>
        <w:t>合同金额</w:t>
      </w:r>
    </w:p>
    <w:p>
      <w:pPr>
        <w:ind w:firstLine="420"/>
        <w:jc w:val="both"/>
      </w:pPr>
      <w:r>
        <w:rPr>
          <w:color w:val="000000"/>
          <w:sz w:val="21"/>
        </w:rPr>
        <w:t>合计金额人民币（大写）：</w:t>
      </w:r>
      <w:r>
        <w:rPr>
          <w:sz w:val="21"/>
          <w:u w:val="single"/>
        </w:rPr>
        <w:t xml:space="preserve">                     </w:t>
      </w:r>
      <w:r>
        <w:rPr>
          <w:color w:val="000000"/>
          <w:sz w:val="21"/>
        </w:rPr>
        <w:t>（￥</w:t>
      </w:r>
      <w:r>
        <w:rPr>
          <w:sz w:val="21"/>
          <w:u w:val="single"/>
        </w:rPr>
        <w:t xml:space="preserve">                </w:t>
      </w:r>
      <w:r>
        <w:rPr>
          <w:color w:val="000000"/>
          <w:sz w:val="21"/>
        </w:rPr>
        <w:t>）</w:t>
      </w:r>
    </w:p>
    <w:p>
      <w:pPr>
        <w:jc w:val="both"/>
      </w:pPr>
      <w:r>
        <w:rPr>
          <w:b/>
          <w:color w:val="000000"/>
          <w:sz w:val="21"/>
        </w:rPr>
        <w:t>三、</w:t>
      </w:r>
      <w:r>
        <w:rPr>
          <w:b/>
          <w:color w:val="000000"/>
          <w:sz w:val="21"/>
        </w:rPr>
        <w:t>服务范围</w:t>
      </w:r>
    </w:p>
    <w:p>
      <w:pPr>
        <w:jc w:val="both"/>
      </w:pPr>
      <w:r>
        <w:rPr>
          <w:color w:val="000000"/>
          <w:sz w:val="21"/>
        </w:rPr>
        <w:t>　　甲方聘请乙方提供以下服务：</w:t>
      </w:r>
    </w:p>
    <w:p>
      <w:pPr>
        <w:jc w:val="both"/>
      </w:pPr>
      <w:r>
        <w:rPr>
          <w:color w:val="000000"/>
          <w:sz w:val="21"/>
        </w:rPr>
        <w:t>1．</w:t>
      </w:r>
      <w:r>
        <w:rPr>
          <w:color w:val="000000"/>
          <w:sz w:val="21"/>
        </w:rPr>
        <w:t>本合同项下的服务指</w:t>
      </w:r>
      <w:r>
        <w:rPr>
          <w:sz w:val="21"/>
          <w:u w:val="single"/>
        </w:rPr>
        <w:t xml:space="preserve">                            </w:t>
      </w:r>
      <w:r>
        <w:rPr>
          <w:color w:val="000000"/>
          <w:sz w:val="21"/>
        </w:rPr>
        <w:t>。</w:t>
      </w:r>
    </w:p>
    <w:p>
      <w:pPr>
        <w:jc w:val="both"/>
      </w:pPr>
      <w:r>
        <w:rPr>
          <w:color w:val="000000"/>
          <w:sz w:val="21"/>
        </w:rPr>
        <w:t>2．</w:t>
      </w:r>
      <w:r>
        <w:rPr>
          <w:color w:val="000000"/>
          <w:sz w:val="21"/>
        </w:rPr>
        <w:t>......</w:t>
      </w:r>
    </w:p>
    <w:p>
      <w:pPr>
        <w:jc w:val="both"/>
      </w:pPr>
      <w:r>
        <w:rPr>
          <w:b/>
          <w:color w:val="000000"/>
          <w:sz w:val="21"/>
        </w:rPr>
        <w:t>四、</w:t>
      </w:r>
      <w:r>
        <w:rPr>
          <w:b/>
          <w:color w:val="000000"/>
          <w:sz w:val="21"/>
        </w:rPr>
        <w:t>服务要求（质量保证及售后服务）</w:t>
      </w:r>
    </w:p>
    <w:p>
      <w:pPr>
        <w:jc w:val="both"/>
      </w:pPr>
      <w:r>
        <w:rPr>
          <w:color w:val="000000"/>
          <w:sz w:val="21"/>
        </w:rPr>
        <w:t>（按采购需求要求）</w:t>
      </w:r>
    </w:p>
    <w:p>
      <w:pPr>
        <w:jc w:val="both"/>
      </w:pPr>
      <w:r>
        <w:rPr>
          <w:b/>
          <w:color w:val="000000"/>
          <w:sz w:val="21"/>
        </w:rPr>
        <w:t>五、</w:t>
      </w:r>
      <w:r>
        <w:rPr>
          <w:b/>
          <w:color w:val="000000"/>
          <w:sz w:val="21"/>
        </w:rPr>
        <w:t>交付时间、地点、方式</w:t>
      </w:r>
    </w:p>
    <w:p>
      <w:pPr>
        <w:jc w:val="both"/>
      </w:pPr>
      <w:r>
        <w:rPr>
          <w:color w:val="000000"/>
          <w:sz w:val="21"/>
        </w:rPr>
        <w:t>1．</w:t>
      </w:r>
      <w:r>
        <w:rPr>
          <w:color w:val="000000"/>
          <w:sz w:val="21"/>
        </w:rPr>
        <w:t>交付时间（服务期限）：</w:t>
      </w:r>
      <w:r>
        <w:rPr>
          <w:sz w:val="21"/>
          <w:u w:val="single"/>
        </w:rPr>
        <w:t xml:space="preserve">     </w:t>
      </w:r>
      <w:r>
        <w:rPr>
          <w:color w:val="000000"/>
          <w:sz w:val="21"/>
        </w:rPr>
        <w:t>年</w:t>
      </w:r>
      <w:r>
        <w:rPr>
          <w:sz w:val="21"/>
          <w:u w:val="single"/>
        </w:rPr>
        <w:t xml:space="preserve">    </w:t>
      </w:r>
      <w:r>
        <w:rPr>
          <w:color w:val="000000"/>
          <w:sz w:val="21"/>
        </w:rPr>
        <w:t>月</w:t>
      </w:r>
      <w:r>
        <w:rPr>
          <w:sz w:val="21"/>
          <w:u w:val="single"/>
        </w:rPr>
        <w:t xml:space="preserve">     </w:t>
      </w:r>
      <w:r>
        <w:rPr>
          <w:color w:val="000000"/>
          <w:sz w:val="21"/>
        </w:rPr>
        <w:t>日至</w:t>
      </w:r>
      <w:r>
        <w:rPr>
          <w:sz w:val="21"/>
          <w:u w:val="single"/>
        </w:rPr>
        <w:t xml:space="preserve">    </w:t>
      </w:r>
      <w:r>
        <w:rPr>
          <w:color w:val="000000"/>
          <w:sz w:val="21"/>
        </w:rPr>
        <w:t>年</w:t>
      </w:r>
      <w:r>
        <w:rPr>
          <w:sz w:val="21"/>
          <w:u w:val="single"/>
        </w:rPr>
        <w:t xml:space="preserve">    </w:t>
      </w:r>
      <w:r>
        <w:rPr>
          <w:color w:val="000000"/>
          <w:sz w:val="21"/>
        </w:rPr>
        <w:t>月</w:t>
      </w:r>
      <w:r>
        <w:rPr>
          <w:sz w:val="21"/>
          <w:u w:val="single"/>
        </w:rPr>
        <w:t xml:space="preserve">    </w:t>
      </w:r>
      <w:r>
        <w:rPr>
          <w:color w:val="000000"/>
          <w:sz w:val="21"/>
        </w:rPr>
        <w:t>日</w:t>
      </w:r>
    </w:p>
    <w:p>
      <w:pPr>
        <w:jc w:val="both"/>
      </w:pPr>
      <w:r>
        <w:rPr>
          <w:color w:val="000000"/>
          <w:sz w:val="21"/>
        </w:rPr>
        <w:t>2．</w:t>
      </w:r>
      <w:r>
        <w:rPr>
          <w:color w:val="000000"/>
          <w:sz w:val="21"/>
        </w:rPr>
        <w:t>交付地点（服务地点）：</w:t>
      </w:r>
      <w:r>
        <w:rPr>
          <w:sz w:val="21"/>
          <w:u w:val="single"/>
        </w:rPr>
        <w:t xml:space="preserve">                        </w:t>
      </w:r>
    </w:p>
    <w:p>
      <w:pPr>
        <w:jc w:val="both"/>
      </w:pPr>
      <w:r>
        <w:rPr>
          <w:color w:val="000000"/>
          <w:sz w:val="21"/>
        </w:rPr>
        <w:t>3．</w:t>
      </w:r>
      <w:r>
        <w:rPr>
          <w:color w:val="000000"/>
          <w:sz w:val="21"/>
        </w:rPr>
        <w:t>交付条件：项目验收通过</w:t>
      </w:r>
    </w:p>
    <w:p>
      <w:pPr>
        <w:jc w:val="both"/>
      </w:pPr>
      <w:r>
        <w:rPr>
          <w:color w:val="000000"/>
          <w:sz w:val="21"/>
        </w:rPr>
        <w:t>4．</w:t>
      </w:r>
      <w:r>
        <w:rPr>
          <w:color w:val="000000"/>
          <w:sz w:val="21"/>
        </w:rPr>
        <w:t>甲方联系人及联系电话：</w:t>
      </w:r>
    </w:p>
    <w:p>
      <w:pPr>
        <w:jc w:val="both"/>
      </w:pPr>
      <w:r>
        <w:rPr>
          <w:color w:val="000000"/>
          <w:sz w:val="21"/>
        </w:rPr>
        <w:t>5．</w:t>
      </w:r>
      <w:r>
        <w:rPr>
          <w:color w:val="000000"/>
          <w:sz w:val="21"/>
        </w:rPr>
        <w:t>乙方联系人及联系电话：</w:t>
      </w:r>
    </w:p>
    <w:p>
      <w:pPr>
        <w:jc w:val="both"/>
      </w:pPr>
      <w:r>
        <w:rPr>
          <w:b/>
          <w:color w:val="000000"/>
          <w:sz w:val="21"/>
        </w:rPr>
        <w:t>六、</w:t>
      </w:r>
      <w:r>
        <w:rPr>
          <w:b/>
          <w:color w:val="000000"/>
          <w:sz w:val="21"/>
        </w:rPr>
        <w:t>甲方乙方的权利和义务</w:t>
      </w:r>
    </w:p>
    <w:p>
      <w:pPr>
        <w:jc w:val="both"/>
      </w:pPr>
      <w:r>
        <w:rPr>
          <w:color w:val="000000"/>
          <w:sz w:val="21"/>
        </w:rPr>
        <w:t>（一）</w:t>
      </w:r>
      <w:r>
        <w:rPr>
          <w:color w:val="000000"/>
          <w:sz w:val="21"/>
        </w:rPr>
        <w:t>甲方的权利和义务：</w:t>
      </w:r>
    </w:p>
    <w:p>
      <w:pPr>
        <w:jc w:val="both"/>
      </w:pPr>
      <w:r>
        <w:rPr>
          <w:color w:val="000000"/>
          <w:sz w:val="21"/>
        </w:rPr>
        <w:t>（二）</w:t>
      </w:r>
      <w:r>
        <w:rPr>
          <w:color w:val="000000"/>
          <w:sz w:val="21"/>
        </w:rPr>
        <w:t>乙方的权利和义务：</w:t>
      </w:r>
    </w:p>
    <w:p>
      <w:pPr>
        <w:jc w:val="both"/>
      </w:pPr>
      <w:r>
        <w:rPr>
          <w:b/>
          <w:color w:val="000000"/>
          <w:sz w:val="21"/>
        </w:rPr>
        <w:t>七、</w:t>
      </w:r>
      <w:r>
        <w:rPr>
          <w:b/>
          <w:color w:val="000000"/>
          <w:sz w:val="21"/>
        </w:rPr>
        <w:t>付款方式</w:t>
      </w:r>
      <w:r>
        <w:rPr>
          <w:b/>
          <w:color w:val="000000"/>
          <w:sz w:val="21"/>
        </w:rPr>
        <w:t>、时间及付款条件</w:t>
      </w:r>
    </w:p>
    <w:p>
      <w:pPr>
        <w:ind w:firstLine="411"/>
        <w:jc w:val="both"/>
      </w:pPr>
      <w:r>
        <w:rPr>
          <w:color w:val="000000"/>
          <w:sz w:val="21"/>
        </w:rPr>
        <w:t>付款时间及条件：（按采购需求要求）</w:t>
      </w:r>
    </w:p>
    <w:p>
      <w:pPr>
        <w:ind w:firstLine="411"/>
        <w:jc w:val="both"/>
      </w:pPr>
      <w:r>
        <w:rPr>
          <w:color w:val="000000"/>
          <w:sz w:val="21"/>
        </w:rPr>
        <w:t>付款方式：</w:t>
      </w:r>
    </w:p>
    <w:p>
      <w:pPr>
        <w:jc w:val="both"/>
      </w:pPr>
      <w:r>
        <w:rPr>
          <w:b/>
          <w:color w:val="000000"/>
          <w:sz w:val="21"/>
        </w:rPr>
        <w:t>八、</w:t>
      </w:r>
      <w:r>
        <w:rPr>
          <w:b/>
          <w:color w:val="000000"/>
          <w:sz w:val="21"/>
        </w:rPr>
        <w:t>项目验收评估</w:t>
      </w:r>
    </w:p>
    <w:p>
      <w:pPr>
        <w:jc w:val="left"/>
      </w:pPr>
      <w:r>
        <w:rPr>
          <w:color w:val="000000"/>
          <w:sz w:val="21"/>
        </w:rPr>
        <w:t>1.具体要求以招标文件以及乙方的投标文件承诺为准，如招标文件与投标文件不一致时，以更有利于甲方的条款执行。</w:t>
      </w:r>
    </w:p>
    <w:p>
      <w:pPr>
        <w:jc w:val="left"/>
      </w:pPr>
      <w:r>
        <w:rPr>
          <w:b/>
          <w:color w:val="000000"/>
          <w:sz w:val="21"/>
        </w:rPr>
        <w:t>2.</w:t>
      </w:r>
      <w:r>
        <w:rPr>
          <w:color w:val="000000"/>
          <w:sz w:val="21"/>
        </w:rPr>
        <w:t xml:space="preserve"> </w:t>
      </w:r>
      <w:r>
        <w:rPr>
          <w:color w:val="000000"/>
          <w:sz w:val="21"/>
        </w:rPr>
        <w:t>验收期限：全部服务完成后</w:t>
      </w:r>
      <w:r>
        <w:rPr>
          <w:sz w:val="21"/>
          <w:u w:val="single"/>
        </w:rPr>
        <w:t xml:space="preserve">   </w:t>
      </w:r>
      <w:r>
        <w:rPr>
          <w:color w:val="000000"/>
          <w:sz w:val="21"/>
        </w:rPr>
        <w:t>天内完成项目验收。</w:t>
      </w:r>
    </w:p>
    <w:p>
      <w:pPr>
        <w:jc w:val="both"/>
      </w:pPr>
      <w:r>
        <w:rPr>
          <w:b/>
          <w:color w:val="000000"/>
          <w:sz w:val="21"/>
        </w:rPr>
        <w:t>九、</w:t>
      </w:r>
      <w:r>
        <w:rPr>
          <w:b/>
          <w:color w:val="000000"/>
          <w:sz w:val="21"/>
        </w:rPr>
        <w:t>知识产权归属</w:t>
      </w:r>
    </w:p>
    <w:p>
      <w:pPr>
        <w:ind w:firstLine="420"/>
        <w:jc w:val="both"/>
      </w:pPr>
      <w:r>
        <w:rPr>
          <w:color w:val="000000"/>
          <w:sz w:val="21"/>
        </w:rPr>
        <w:t>乙方必须保证甲方在中华人民共和国境内使用投标资料、服务或其任何一部分时，享有不受限制的无偿使用权，不会产生因第三方提出侵犯其专利权、商标权或其它知识产权而引起的法律或经济纠纷。</w:t>
      </w:r>
    </w:p>
    <w:p>
      <w:pPr>
        <w:jc w:val="both"/>
      </w:pPr>
      <w:r>
        <w:rPr>
          <w:b/>
          <w:color w:val="000000"/>
          <w:sz w:val="21"/>
        </w:rPr>
        <w:t>十、</w:t>
      </w:r>
      <w:r>
        <w:rPr>
          <w:b/>
          <w:color w:val="000000"/>
          <w:sz w:val="21"/>
        </w:rPr>
        <w:t>保密</w:t>
      </w:r>
    </w:p>
    <w:p>
      <w:pPr>
        <w:jc w:val="both"/>
      </w:pPr>
      <w:r>
        <w:rPr>
          <w:color w:val="000000"/>
          <w:sz w:val="21"/>
        </w:rPr>
        <w:t>1．</w:t>
      </w:r>
      <w:r>
        <w:rPr>
          <w:color w:val="000000"/>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color w:val="000000"/>
          <w:sz w:val="21"/>
        </w:rPr>
        <w:t>2．</w:t>
      </w:r>
      <w:r>
        <w:rPr>
          <w:color w:val="000000"/>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b/>
          <w:color w:val="000000"/>
          <w:sz w:val="21"/>
        </w:rPr>
        <w:t>十一、</w:t>
      </w:r>
      <w:r>
        <w:rPr>
          <w:b/>
          <w:color w:val="000000"/>
          <w:sz w:val="21"/>
        </w:rPr>
        <w:t>违约责任与赔偿损失</w:t>
      </w:r>
    </w:p>
    <w:p>
      <w:pPr>
        <w:jc w:val="both"/>
      </w:pPr>
      <w:r>
        <w:rPr>
          <w:color w:val="000000"/>
          <w:sz w:val="21"/>
        </w:rPr>
        <w:t>1．</w:t>
      </w:r>
      <w:r>
        <w:rPr>
          <w:color w:val="000000"/>
          <w:sz w:val="21"/>
        </w:rPr>
        <w:t>乙方提供的服务不符合招标文件、投标文件或本合同规定的，甲方有权拒收，并且乙方须向甲方支付本合同总价</w:t>
      </w:r>
      <w:r>
        <w:rPr>
          <w:color w:val="000000"/>
          <w:sz w:val="21"/>
        </w:rPr>
        <w:t>5%的违约金。</w:t>
      </w:r>
    </w:p>
    <w:p>
      <w:pPr>
        <w:jc w:val="both"/>
      </w:pPr>
      <w:r>
        <w:rPr>
          <w:color w:val="000000"/>
          <w:sz w:val="21"/>
        </w:rPr>
        <w:t>2．</w:t>
      </w:r>
      <w:r>
        <w:rPr>
          <w:color w:val="000000"/>
          <w:sz w:val="21"/>
        </w:rPr>
        <w:t xml:space="preserve"> </w:t>
      </w:r>
      <w:r>
        <w:rPr>
          <w:color w:val="000000"/>
          <w:sz w:val="21"/>
        </w:rPr>
        <w:t>乙方未能按本合同规定的交货时间提供服务，从逾期之日起每日按本合同总价</w:t>
      </w:r>
      <w:r>
        <w:rPr>
          <w:color w:val="000000"/>
          <w:sz w:val="21"/>
        </w:rPr>
        <w:t>3‰的数额向甲方支付违约金；逾期半个月以上的，甲方有权终止合同，由此造成的甲方经济损失由乙方承担。</w:t>
      </w:r>
    </w:p>
    <w:p>
      <w:pPr>
        <w:jc w:val="both"/>
      </w:pPr>
      <w:r>
        <w:rPr>
          <w:color w:val="000000"/>
          <w:sz w:val="21"/>
        </w:rPr>
        <w:t>3．</w:t>
      </w:r>
      <w:r>
        <w:rPr>
          <w:color w:val="000000"/>
          <w:sz w:val="21"/>
        </w:rPr>
        <w:t>甲方无正当理由拒绝接受服务，到期拒付服务款项的，甲方向乙方偿付本合同总价的</w:t>
      </w:r>
      <w:r>
        <w:rPr>
          <w:color w:val="000000"/>
          <w:sz w:val="21"/>
        </w:rPr>
        <w:t>5%的违约金。甲方逾期付款，则每日按本合同总价的3‰向乙方偿付违约金。</w:t>
      </w:r>
    </w:p>
    <w:p>
      <w:pPr>
        <w:jc w:val="both"/>
      </w:pPr>
      <w:r>
        <w:rPr>
          <w:color w:val="000000"/>
          <w:sz w:val="21"/>
        </w:rPr>
        <w:t>4．</w:t>
      </w:r>
      <w:r>
        <w:rPr>
          <w:color w:val="000000"/>
          <w:sz w:val="21"/>
        </w:rPr>
        <w:t>因甲方原因导致变更、中止或者终止政府采购合同的，甲方对乙方受到的损失予以赔偿或者补偿，赔偿或者补偿金额为：</w:t>
      </w:r>
      <w:r>
        <w:rPr>
          <w:color w:val="000000"/>
          <w:sz w:val="21"/>
          <w:u w:val="single"/>
        </w:rPr>
        <w:t xml:space="preserve"> </w:t>
      </w:r>
      <w:r>
        <w:rPr>
          <w:color w:val="000000"/>
          <w:sz w:val="21"/>
          <w:u w:val="single"/>
        </w:rPr>
        <w:t>按本合同总价的</w:t>
      </w:r>
      <w:r>
        <w:rPr>
          <w:color w:val="000000"/>
          <w:sz w:val="21"/>
          <w:u w:val="single"/>
        </w:rPr>
        <w:t>%</w:t>
      </w:r>
    </w:p>
    <w:p>
      <w:pPr>
        <w:jc w:val="both"/>
      </w:pPr>
      <w:r>
        <w:rPr>
          <w:color w:val="000000"/>
          <w:sz w:val="21"/>
        </w:rPr>
        <w:t>5．</w:t>
      </w:r>
      <w:r>
        <w:rPr>
          <w:color w:val="000000"/>
          <w:sz w:val="21"/>
        </w:rPr>
        <w:t>其它违约责任按《中华人民共和国民法典》处理。</w:t>
      </w:r>
    </w:p>
    <w:p>
      <w:pPr>
        <w:jc w:val="both"/>
      </w:pPr>
      <w:r>
        <w:rPr>
          <w:b/>
          <w:color w:val="000000"/>
          <w:sz w:val="21"/>
        </w:rPr>
        <w:t>十二、</w:t>
      </w:r>
      <w:r>
        <w:rPr>
          <w:b/>
          <w:color w:val="000000"/>
          <w:sz w:val="21"/>
        </w:rPr>
        <w:t>争端的解决</w:t>
      </w:r>
    </w:p>
    <w:p>
      <w:pPr>
        <w:ind w:firstLine="420"/>
        <w:jc w:val="both"/>
      </w:pPr>
      <w:r>
        <w:rPr>
          <w:color w:val="000000"/>
          <w:sz w:val="21"/>
        </w:rPr>
        <w:t>合同执行过程中发生的任何争议，如双方不能通过友好协商解决，</w:t>
      </w:r>
      <w:r>
        <w:rPr>
          <w:color w:val="000000"/>
          <w:sz w:val="21"/>
        </w:rPr>
        <w:t>则向甲方所在地有管辖权的人民法院提起诉讼</w:t>
      </w:r>
      <w:r>
        <w:rPr>
          <w:color w:val="000000"/>
          <w:sz w:val="21"/>
        </w:rPr>
        <w:t>。</w:t>
      </w:r>
    </w:p>
    <w:p>
      <w:pPr>
        <w:jc w:val="both"/>
      </w:pPr>
      <w:r>
        <w:rPr>
          <w:b/>
          <w:color w:val="000000"/>
          <w:sz w:val="21"/>
        </w:rPr>
        <w:t>十三、</w:t>
      </w:r>
      <w:r>
        <w:rPr>
          <w:b/>
          <w:color w:val="000000"/>
          <w:sz w:val="21"/>
        </w:rPr>
        <w:t>不可抗力</w:t>
      </w:r>
    </w:p>
    <w:p>
      <w:pPr>
        <w:ind w:firstLine="411"/>
        <w:jc w:val="both"/>
      </w:pPr>
      <w:r>
        <w:rPr>
          <w:color w:val="000000"/>
          <w:sz w:val="21"/>
        </w:rPr>
        <w:t>任何一方由于不可抗力原因不能履行合同时，应在不可抗力事件结束后</w:t>
      </w:r>
      <w:r>
        <w:rPr>
          <w:color w:val="000000"/>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color w:val="000000"/>
          <w:sz w:val="21"/>
        </w:rPr>
        <w:t>十四、</w:t>
      </w:r>
      <w:r>
        <w:rPr>
          <w:b/>
          <w:color w:val="000000"/>
          <w:sz w:val="21"/>
        </w:rPr>
        <w:t>税费</w:t>
      </w:r>
    </w:p>
    <w:p>
      <w:pPr>
        <w:ind w:firstLine="411"/>
        <w:jc w:val="both"/>
      </w:pPr>
      <w:r>
        <w:rPr>
          <w:color w:val="000000"/>
          <w:sz w:val="21"/>
        </w:rPr>
        <w:t>在中国境内、外发生的与本合同执行有关的一切税费均由乙方负担。</w:t>
      </w:r>
    </w:p>
    <w:p>
      <w:pPr>
        <w:jc w:val="both"/>
      </w:pPr>
      <w:r>
        <w:rPr>
          <w:b/>
          <w:color w:val="000000"/>
          <w:sz w:val="21"/>
        </w:rPr>
        <w:t>十五、</w:t>
      </w:r>
      <w:r>
        <w:rPr>
          <w:b/>
          <w:color w:val="000000"/>
          <w:sz w:val="21"/>
        </w:rPr>
        <w:t>其它</w:t>
      </w:r>
    </w:p>
    <w:p>
      <w:pPr>
        <w:jc w:val="both"/>
      </w:pPr>
      <w:r>
        <w:rPr>
          <w:color w:val="000000"/>
          <w:sz w:val="21"/>
        </w:rPr>
        <w:t>1．</w:t>
      </w:r>
      <w:r>
        <w:rPr>
          <w:color w:val="000000"/>
          <w:sz w:val="21"/>
        </w:rPr>
        <w:t>本合同所有附件、招标文件、投标文件、中标通知书均为合同的有效组成部分，与本合同具有同等法律效力。</w:t>
      </w:r>
    </w:p>
    <w:p>
      <w:pPr>
        <w:jc w:val="both"/>
      </w:pPr>
      <w:r>
        <w:rPr>
          <w:color w:val="000000"/>
          <w:sz w:val="21"/>
        </w:rPr>
        <w:t>2．</w:t>
      </w:r>
      <w:r>
        <w:rPr>
          <w:color w:val="000000"/>
          <w:sz w:val="21"/>
        </w:rPr>
        <w:t>在执行本合同的过程中，所有经双方签署确认的文件（包括会议纪要、补充协议）即成为本合同的有效组成部分。</w:t>
      </w:r>
    </w:p>
    <w:p>
      <w:pPr>
        <w:jc w:val="both"/>
      </w:pPr>
      <w:r>
        <w:rPr>
          <w:color w:val="000000"/>
          <w:sz w:val="21"/>
        </w:rPr>
        <w:t>3．</w:t>
      </w:r>
      <w:r>
        <w:rPr>
          <w:color w:val="000000"/>
          <w:sz w:val="21"/>
        </w:rPr>
        <w:t>如一方地址、电话、传真号码有变更，应在变更当日内书面通知对方，否则，应承担相应责任。</w:t>
      </w:r>
    </w:p>
    <w:p>
      <w:pPr>
        <w:jc w:val="both"/>
      </w:pPr>
      <w:r>
        <w:rPr>
          <w:color w:val="000000"/>
          <w:sz w:val="21"/>
        </w:rPr>
        <w:t>4．</w:t>
      </w:r>
      <w:r>
        <w:rPr>
          <w:color w:val="000000"/>
          <w:sz w:val="21"/>
        </w:rPr>
        <w:t>除甲方事先书面同意外，乙方不得部分或全部转让其应履行的合同项下的义务。</w:t>
      </w:r>
    </w:p>
    <w:p>
      <w:pPr>
        <w:jc w:val="both"/>
      </w:pPr>
      <w:r>
        <w:rPr>
          <w:color w:val="000000"/>
          <w:sz w:val="21"/>
        </w:rPr>
        <w:t>5．</w:t>
      </w:r>
      <w:r>
        <w:rPr>
          <w:color w:val="000000"/>
          <w:sz w:val="21"/>
        </w:rPr>
        <w:t>本合同正本一式</w:t>
      </w:r>
      <w:r>
        <w:rPr>
          <w:sz w:val="21"/>
          <w:u w:val="single"/>
        </w:rPr>
        <w:t xml:space="preserve">    </w:t>
      </w:r>
      <w:r>
        <w:rPr>
          <w:color w:val="000000"/>
          <w:sz w:val="21"/>
        </w:rPr>
        <w:t>份，具有同等法律效力，甲、乙双方各执</w:t>
      </w:r>
      <w:r>
        <w:rPr>
          <w:sz w:val="21"/>
          <w:u w:val="single"/>
        </w:rPr>
        <w:t xml:space="preserve">    </w:t>
      </w:r>
      <w:r>
        <w:rPr>
          <w:color w:val="000000"/>
          <w:sz w:val="21"/>
        </w:rPr>
        <w:t>份，采购代理机构壹份。合同自双方签字或盖章之日起即时生效。</w:t>
      </w:r>
    </w:p>
    <w:p>
      <w:pPr>
        <w:jc w:val="both"/>
      </w:pPr>
      <w:r>
        <w:rPr>
          <w:color w:val="000000"/>
          <w:sz w:val="21"/>
        </w:rPr>
        <w:t>6．</w:t>
      </w:r>
      <w:r>
        <w:rPr>
          <w:color w:val="000000"/>
          <w:sz w:val="21"/>
        </w:rPr>
        <w:t>本合同未尽事宜，由双方协商处理。</w:t>
      </w:r>
    </w:p>
    <w:p>
      <w:pPr>
        <w:jc w:val="both"/>
      </w:pPr>
      <w:r>
        <w:rPr>
          <w:color w:val="000000"/>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color w:val="000000"/>
                <w:sz w:val="21"/>
              </w:rPr>
              <w:t>甲方（公章）：</w:t>
            </w:r>
          </w:p>
          <w:p>
            <w:pPr>
              <w:jc w:val="both"/>
            </w:pPr>
            <w:r>
              <w:rPr>
                <w:color w:val="000000"/>
                <w:sz w:val="21"/>
              </w:rPr>
              <w:t>联系人：</w:t>
            </w:r>
          </w:p>
          <w:p>
            <w:pPr>
              <w:jc w:val="both"/>
            </w:pPr>
            <w:r>
              <w:rPr>
                <w:color w:val="000000"/>
                <w:sz w:val="21"/>
              </w:rPr>
              <w:t>开户名称：</w:t>
            </w:r>
          </w:p>
          <w:p>
            <w:pPr>
              <w:jc w:val="both"/>
            </w:pPr>
            <w:r>
              <w:rPr>
                <w:color w:val="000000"/>
                <w:sz w:val="21"/>
              </w:rPr>
              <w:t>开户银行：</w:t>
            </w:r>
          </w:p>
          <w:p>
            <w:pPr>
              <w:jc w:val="both"/>
            </w:pPr>
            <w:r>
              <w:rPr>
                <w:color w:val="000000"/>
                <w:sz w:val="21"/>
              </w:rPr>
              <w:t>银行账号：</w:t>
            </w:r>
          </w:p>
          <w:p>
            <w:pPr>
              <w:jc w:val="both"/>
            </w:pPr>
            <w:r>
              <w:rPr>
                <w:color w:val="000000"/>
                <w:sz w:val="21"/>
              </w:rPr>
              <w:t>纳税人识别号：</w:t>
            </w:r>
          </w:p>
          <w:p>
            <w:pPr>
              <w:jc w:val="both"/>
            </w:pPr>
            <w:r>
              <w:rPr>
                <w:color w:val="000000"/>
                <w:sz w:val="21"/>
              </w:rPr>
              <w:t>地址：</w:t>
            </w:r>
          </w:p>
          <w:p>
            <w:pPr>
              <w:jc w:val="both"/>
            </w:pPr>
            <w:r>
              <w:rPr>
                <w:color w:val="000000"/>
                <w:sz w:val="21"/>
              </w:rPr>
              <w:t>联系方式：</w:t>
            </w:r>
          </w:p>
          <w:p>
            <w:pPr>
              <w:jc w:val="both"/>
            </w:pPr>
            <w:r>
              <w:rPr>
                <w:color w:val="000000"/>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color w:val="000000"/>
                <w:sz w:val="21"/>
              </w:rPr>
              <w:t>乙方（公章）：</w:t>
            </w:r>
          </w:p>
          <w:p>
            <w:pPr>
              <w:jc w:val="both"/>
            </w:pPr>
            <w:r>
              <w:rPr>
                <w:color w:val="000000"/>
                <w:sz w:val="21"/>
              </w:rPr>
              <w:t>联系人：</w:t>
            </w:r>
          </w:p>
          <w:p>
            <w:pPr>
              <w:jc w:val="both"/>
            </w:pPr>
            <w:r>
              <w:rPr>
                <w:color w:val="000000"/>
                <w:sz w:val="21"/>
              </w:rPr>
              <w:t>供应商规模：（大型企业</w:t>
            </w:r>
            <w:r>
              <w:rPr>
                <w:color w:val="000000"/>
                <w:sz w:val="21"/>
              </w:rPr>
              <w:t>/中型企业/小微型企业/其他）</w:t>
            </w:r>
          </w:p>
          <w:p>
            <w:pPr>
              <w:jc w:val="both"/>
            </w:pPr>
            <w:r>
              <w:rPr>
                <w:color w:val="000000"/>
                <w:sz w:val="21"/>
              </w:rPr>
              <w:t>供应商特殊性质：（监狱企业</w:t>
            </w:r>
            <w:r>
              <w:rPr>
                <w:color w:val="000000"/>
                <w:sz w:val="21"/>
              </w:rPr>
              <w:t>/残疾人福利性单位/其他）</w:t>
            </w:r>
          </w:p>
          <w:p>
            <w:pPr>
              <w:jc w:val="both"/>
            </w:pPr>
            <w:r>
              <w:rPr>
                <w:color w:val="000000"/>
                <w:sz w:val="21"/>
              </w:rPr>
              <w:t>开户名称：</w:t>
            </w:r>
          </w:p>
          <w:p>
            <w:pPr>
              <w:jc w:val="both"/>
            </w:pPr>
            <w:r>
              <w:rPr>
                <w:color w:val="000000"/>
                <w:sz w:val="21"/>
              </w:rPr>
              <w:t>开户银行：</w:t>
            </w:r>
          </w:p>
          <w:p>
            <w:pPr>
              <w:jc w:val="both"/>
            </w:pPr>
            <w:r>
              <w:rPr>
                <w:color w:val="000000"/>
                <w:sz w:val="21"/>
              </w:rPr>
              <w:t>银行账号：</w:t>
            </w:r>
          </w:p>
          <w:p>
            <w:pPr>
              <w:jc w:val="both"/>
            </w:pPr>
            <w:r>
              <w:rPr>
                <w:color w:val="000000"/>
                <w:sz w:val="21"/>
              </w:rPr>
              <w:t>纳税人识别号：</w:t>
            </w:r>
          </w:p>
          <w:p>
            <w:pPr>
              <w:jc w:val="both"/>
            </w:pPr>
            <w:r>
              <w:rPr>
                <w:color w:val="000000"/>
                <w:sz w:val="21"/>
              </w:rPr>
              <w:t>供应商所在区域：</w:t>
            </w:r>
          </w:p>
          <w:p>
            <w:pPr>
              <w:jc w:val="both"/>
            </w:pPr>
            <w:r>
              <w:rPr>
                <w:color w:val="000000"/>
                <w:sz w:val="21"/>
              </w:rPr>
              <w:t>地址：</w:t>
            </w:r>
          </w:p>
          <w:p>
            <w:pPr>
              <w:jc w:val="both"/>
            </w:pPr>
            <w:r>
              <w:rPr>
                <w:color w:val="000000"/>
                <w:sz w:val="21"/>
              </w:rPr>
              <w:t>联系方式：</w:t>
            </w:r>
          </w:p>
          <w:p>
            <w:pPr>
              <w:jc w:val="both"/>
            </w:pPr>
            <w:r>
              <w:rPr>
                <w:color w:val="000000"/>
                <w:sz w:val="21"/>
              </w:rPr>
              <w:t>传真：</w:t>
            </w: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440105-2024-00688</w:t>
      </w:r>
    </w:p>
    <w:p>
      <w:pPr>
        <w:jc w:val="center"/>
      </w:pPr>
      <w:r>
        <w:rPr>
          <w:b/>
          <w:sz w:val="24"/>
        </w:rPr>
        <w:t>采购项目编号：</w:t>
      </w:r>
      <w:r>
        <w:rPr>
          <w:b/>
          <w:sz w:val="24"/>
        </w:rPr>
        <w:t>GZGK24D054C0104Z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海珠湿地保护和基础设施建设项目检测</w:t>
      </w:r>
      <w:r>
        <w:rPr>
          <w:u w:val="single"/>
        </w:rPr>
        <w:t>”</w:t>
      </w:r>
      <w:r>
        <w:rPr/>
        <w:t>项目的招标[采购项目编号为：</w:t>
      </w:r>
      <w:r>
        <w:rPr>
          <w:u w:val="single"/>
        </w:rPr>
        <w:t>GZGK24D054C0104Z</w:t>
      </w:r>
      <w:r>
        <w:rPr/>
        <w:t>]，我方愿参与投标。</w:t>
      </w:r>
    </w:p>
    <w:p>
      <w:pPr>
        <w:ind w:firstLine="480"/>
      </w:pPr>
      <w:r>
        <w:rPr/>
        <w:t>我方确认收到贵方提供的</w:t>
      </w:r>
      <w:r>
        <w:rPr>
          <w:u w:val="single"/>
        </w:rPr>
        <w:t>“</w:t>
      </w:r>
      <w:r>
        <w:rPr>
          <w:u w:val="single"/>
        </w:rPr>
        <w:t>海珠湿地保护和基础设施建设项目检测</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海珠湿地保护和基础设施建设项目检测</w:t>
      </w:r>
      <w:r>
        <w:rPr/>
        <w:t>”项目采购[采购项目编号为</w:t>
      </w:r>
      <w:r>
        <w:rPr/>
        <w:t>GZGK24D054C0104Z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广州市海珠区湿地保护管理办公室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海珠湿地保护和基础设施建设项目检测</w:t>
      </w:r>
      <w:r>
        <w:rPr/>
        <w:t>招标中获中标（采购项目编号：</w:t>
      </w:r>
      <w:r>
        <w:rPr/>
        <w:t>GZGK24D054C0104Z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