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440101-2024-02132</w:t>
      </w:r>
    </w:p>
    <w:p>
      <w:pPr>
        <w:jc w:val="center"/>
      </w:pPr>
      <w:r>
        <w:rPr>
          <w:b/>
          <w:sz w:val="24"/>
        </w:rPr>
        <w:t>采购项目编号：</w:t>
      </w:r>
      <w:r>
        <w:rPr>
          <w:b/>
          <w:sz w:val="24"/>
        </w:rPr>
        <w:t>GZGK23D271C0862C</w:t>
      </w:r>
    </w:p>
    <w:p>
      <w:pPr>
        <w:jc w:val="center"/>
      </w:pPr>
      <w:r>
        <w:rPr>
          <w:b/>
          <w:sz w:val="24"/>
        </w:rPr>
        <w:t>项目名称：</w:t>
      </w:r>
      <w:r>
        <w:rPr>
          <w:b/>
          <w:sz w:val="24"/>
        </w:rPr>
        <w:t>“广州统战”微信公众号维护与运营</w:t>
      </w:r>
    </w:p>
    <w:p>
      <w:pPr>
        <w:jc w:val="center"/>
      </w:pPr>
      <w:r>
        <w:rPr>
          <w:b/>
          <w:sz w:val="24"/>
        </w:rPr>
        <w:t>采购人：</w:t>
      </w:r>
      <w:r>
        <w:rPr>
          <w:b/>
          <w:sz w:val="24"/>
        </w:rPr>
        <w:t>中国共产党广州市委员会统战部</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中国共产党广州市委员会统战部</w:t>
      </w:r>
      <w:r>
        <w:rPr/>
        <w:t>的委托，采用</w:t>
      </w:r>
      <w:r>
        <w:rPr/>
        <w:t>竞争性磋商</w:t>
      </w:r>
      <w:r>
        <w:rPr/>
        <w:t>方式组织采购</w:t>
      </w:r>
      <w:r>
        <w:rPr/>
        <w:t>“广州统战”微信公众号维护与运营</w:t>
      </w:r>
      <w:r>
        <w:rPr/>
        <w:t>。欢迎符合资格条件的供应商参加。</w:t>
      </w:r>
    </w:p>
    <w:p>
      <w:r>
        <w:rPr>
          <w:b/>
          <w:sz w:val="28"/>
        </w:rPr>
        <w:t>一.项目概述</w:t>
      </w:r>
    </w:p>
    <w:p>
      <w:r>
        <w:rPr>
          <w:b/>
          <w:sz w:val="24"/>
        </w:rPr>
        <w:t>1.名称与编号</w:t>
      </w:r>
    </w:p>
    <w:p>
      <w:pPr>
        <w:ind w:firstLine="480"/>
      </w:pPr>
      <w:r>
        <w:rPr/>
        <w:t>采购项目名称：</w:t>
      </w:r>
      <w:r>
        <w:rPr/>
        <w:t>“广州统战”微信公众号维护与运营</w:t>
      </w:r>
    </w:p>
    <w:p>
      <w:pPr>
        <w:ind w:firstLine="480"/>
      </w:pPr>
      <w:r>
        <w:rPr/>
        <w:t>采购计划编号：</w:t>
      </w:r>
      <w:r>
        <w:rPr/>
        <w:t>440101-2024-02132</w:t>
      </w:r>
    </w:p>
    <w:p>
      <w:pPr>
        <w:ind w:firstLine="480"/>
      </w:pPr>
      <w:r>
        <w:rPr/>
        <w:t>采购项目编号：</w:t>
      </w:r>
      <w:r>
        <w:rPr/>
        <w:t>GZGK23D271C0862C</w:t>
      </w:r>
    </w:p>
    <w:p>
      <w:pPr>
        <w:ind w:firstLine="480"/>
      </w:pPr>
      <w:r>
        <w:rPr/>
        <w:t>采购方式：</w:t>
      </w:r>
      <w:r>
        <w:rPr/>
        <w:t>竞争性磋商</w:t>
      </w:r>
    </w:p>
    <w:p>
      <w:pPr>
        <w:ind w:firstLine="480"/>
      </w:pPr>
      <w:r>
        <w:rPr/>
        <w:t>预算金额：</w:t>
      </w:r>
      <w:r>
        <w:rPr/>
        <w:t>325,000.00</w:t>
      </w:r>
      <w:r>
        <w:rPr/>
        <w:t>元</w:t>
      </w:r>
    </w:p>
    <w:p>
      <w:r>
        <w:rPr>
          <w:b/>
          <w:sz w:val="24"/>
        </w:rPr>
        <w:t>2.项目内容及需求情况（采购项目技术规格、参数及要求）</w:t>
      </w:r>
    </w:p>
    <w:p>
      <w:pPr>
        <w:ind w:firstLine="480"/>
      </w:pPr>
    </w:p>
    <w:p/>
    <w:p>
      <w:r>
        <w:rPr/>
        <w:t>采购包1(“广州统战”微信公众号维护与运营):</w:t>
      </w:r>
    </w:p>
    <w:p>
      <w:r>
        <w:rPr/>
        <w:t>采购包预算金额：325,000.00元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互联网信息服务</w:t>
            </w:r>
          </w:p>
        </w:tc>
        <w:tc>
          <w:tcPr>
            <w:tcW w:type="dxa" w:w="2136"/>
          </w:tcPr>
          <w:p>
            <w:r>
              <w:rPr/>
              <w:t>“广州统战”微信公众号维护与运营</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采购包1（“广州统战”微信公众号维护与运营）：</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采购包1（“广州统战”微信公众号维护与运营）：</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中国共产党广州市委员会统战部</w:t>
      </w:r>
    </w:p>
    <w:p>
      <w:pPr>
        <w:ind w:firstLine="480"/>
      </w:pPr>
      <w:r>
        <w:rPr/>
        <w:t>地址：</w:t>
      </w:r>
      <w:r>
        <w:rPr/>
        <w:t>广州市越秀区法政路30号</w:t>
      </w:r>
    </w:p>
    <w:p>
      <w:pPr>
        <w:ind w:firstLine="480"/>
      </w:pPr>
      <w:r>
        <w:rPr/>
        <w:t>联系方式：</w:t>
      </w:r>
      <w:r>
        <w:rPr/>
        <w:t>020-83105362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020-31603842、020-37635007</w:t>
      </w:r>
    </w:p>
    <w:p>
      <w:r>
        <w:rPr>
          <w:b/>
          <w:sz w:val="24"/>
        </w:rPr>
        <w:t>3.项目联系方式</w:t>
      </w:r>
    </w:p>
    <w:p>
      <w:pPr>
        <w:ind w:firstLine="480"/>
      </w:pPr>
      <w:r>
        <w:rPr/>
        <w:t>项目联系人：</w:t>
      </w:r>
      <w:r>
        <w:rPr/>
        <w:t>李国晨、郑璧伦</w:t>
      </w:r>
    </w:p>
    <w:p>
      <w:pPr>
        <w:ind w:firstLine="480"/>
      </w:pPr>
      <w:r>
        <w:rPr/>
        <w:t>电话：</w:t>
      </w:r>
      <w:r>
        <w:rPr/>
        <w:t>020-31603842、020-37635007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（一）</w:t>
      </w:r>
      <w:r>
        <w:rPr>
          <w:b/>
          <w:color w:val="000000"/>
          <w:sz w:val="21"/>
        </w:rPr>
        <w:t>项目编号：</w:t>
      </w:r>
      <w:r>
        <w:rPr>
          <w:color w:val="000000"/>
          <w:sz w:val="21"/>
        </w:rPr>
        <w:t>GZGK23D271C0862C</w:t>
      </w:r>
    </w:p>
    <w:p>
      <w:pPr>
        <w:jc w:val="both"/>
      </w:pPr>
      <w:r>
        <w:rPr>
          <w:b/>
          <w:color w:val="000000"/>
          <w:sz w:val="21"/>
        </w:rPr>
        <w:t>（二）</w:t>
      </w:r>
      <w:r>
        <w:rPr>
          <w:b/>
          <w:color w:val="000000"/>
          <w:sz w:val="21"/>
        </w:rPr>
        <w:t>项目名称：</w:t>
      </w:r>
      <w:r>
        <w:rPr>
          <w:color w:val="000000"/>
          <w:sz w:val="21"/>
        </w:rPr>
        <w:t>“广州统战”微信公众号维护与运营</w:t>
      </w:r>
    </w:p>
    <w:p>
      <w:pPr>
        <w:jc w:val="both"/>
      </w:pPr>
      <w:r>
        <w:rPr>
          <w:b/>
          <w:color w:val="000000"/>
          <w:sz w:val="21"/>
        </w:rPr>
        <w:t>（三）</w:t>
      </w:r>
      <w:r>
        <w:rPr>
          <w:b/>
          <w:color w:val="000000"/>
          <w:sz w:val="21"/>
        </w:rPr>
        <w:t>总体要求说明：</w:t>
      </w:r>
    </w:p>
    <w:p>
      <w:pPr>
        <w:ind w:firstLine="420"/>
        <w:jc w:val="both"/>
      </w:pPr>
      <w:r>
        <w:rPr>
          <w:color w:val="000000"/>
          <w:sz w:val="21"/>
        </w:rPr>
        <w:t>1、</w:t>
      </w:r>
      <w:r>
        <w:rPr>
          <w:color w:val="000000"/>
          <w:sz w:val="21"/>
        </w:rPr>
        <w:t>标有</w:t>
      </w:r>
      <w:r>
        <w:rPr>
          <w:color w:val="000000"/>
          <w:sz w:val="21"/>
        </w:rPr>
        <w:t>“★”的条款</w:t>
      </w:r>
      <w:r>
        <w:rPr>
          <w:color w:val="000000"/>
          <w:sz w:val="21"/>
        </w:rPr>
        <w:t>为必须完全满足的实质性要求</w:t>
      </w:r>
      <w:r>
        <w:rPr>
          <w:color w:val="000000"/>
          <w:sz w:val="21"/>
        </w:rPr>
        <w:t>，响应供应商如有一项带</w:t>
      </w:r>
      <w:r>
        <w:rPr>
          <w:color w:val="000000"/>
          <w:sz w:val="21"/>
        </w:rPr>
        <w:t>“★”的条款未响应或不满足，将按无效响应处理。</w:t>
      </w:r>
    </w:p>
    <w:p>
      <w:pPr>
        <w:ind w:firstLine="420"/>
        <w:jc w:val="both"/>
      </w:pPr>
      <w:r>
        <w:rPr>
          <w:color w:val="000000"/>
          <w:sz w:val="21"/>
        </w:rPr>
        <w:t>2、</w:t>
      </w:r>
      <w:r>
        <w:rPr>
          <w:color w:val="000000"/>
          <w:sz w:val="21"/>
        </w:rPr>
        <w:t>标有</w:t>
      </w:r>
      <w:r>
        <w:rPr>
          <w:color w:val="000000"/>
          <w:sz w:val="21"/>
        </w:rPr>
        <w:t>“▲”的条款为重要性要求，响应供应商如有“▲”的条款未响应或负偏离的将被严重扣分。</w:t>
      </w:r>
    </w:p>
    <w:p>
      <w:pPr>
        <w:ind w:firstLine="420"/>
        <w:jc w:val="both"/>
      </w:pPr>
      <w:r>
        <w:rPr>
          <w:color w:val="000000"/>
          <w:sz w:val="21"/>
        </w:rPr>
        <w:t>3、</w:t>
      </w:r>
      <w:r>
        <w:rPr>
          <w:color w:val="000000"/>
          <w:sz w:val="21"/>
        </w:rPr>
        <w:t>响应供应商应对采购需求中的服务指标在响应详细内容中列出明确承诺。如果响应供应商只注明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“负偏离”，从而可能导致严重影响评审结果。</w:t>
      </w:r>
    </w:p>
    <w:p>
      <w:pPr>
        <w:ind w:firstLine="420"/>
        <w:jc w:val="both"/>
      </w:pPr>
      <w:r>
        <w:rPr>
          <w:color w:val="000000"/>
          <w:sz w:val="21"/>
        </w:rPr>
        <w:t>4、</w:t>
      </w:r>
      <w:r>
        <w:rPr>
          <w:color w:val="000000"/>
          <w:sz w:val="21"/>
        </w:rPr>
        <w:t>响应供应商没有在响应文件中注明偏离（文字说明或在响应表注明）的参数、配置、条款视为被响应供应商完全接受。</w:t>
      </w:r>
    </w:p>
    <w:p>
      <w:pPr>
        <w:ind w:firstLine="420"/>
        <w:jc w:val="both"/>
      </w:pPr>
      <w:r>
        <w:rPr>
          <w:color w:val="000000"/>
          <w:sz w:val="21"/>
        </w:rPr>
        <w:t>5、</w:t>
      </w:r>
      <w:r>
        <w:rPr>
          <w:color w:val="000000"/>
          <w:sz w:val="21"/>
        </w:rPr>
        <w:t>响应供应商应保证，采购人在中华人民共和国使用该服务或服务的任何一部分时，免受第三方提出的侵犯其专利权、商标权、著作权或其它知识产权的起诉。</w:t>
      </w:r>
    </w:p>
    <w:p>
      <w:pPr>
        <w:ind w:firstLine="420"/>
        <w:jc w:val="both"/>
      </w:pPr>
      <w:r>
        <w:rPr>
          <w:color w:val="000000"/>
          <w:sz w:val="21"/>
        </w:rPr>
        <w:t>6、</w:t>
      </w:r>
      <w:r>
        <w:rPr>
          <w:color w:val="000000"/>
          <w:sz w:val="21"/>
        </w:rPr>
        <w:t>不允许成交供应商</w:t>
      </w:r>
      <w:r>
        <w:rPr>
          <w:color w:val="000000"/>
          <w:sz w:val="21"/>
        </w:rPr>
        <w:t>转包、分包项目内容</w:t>
      </w:r>
      <w:r>
        <w:rPr>
          <w:color w:val="000000"/>
          <w:sz w:val="21"/>
        </w:rPr>
        <w:t>。</w:t>
      </w:r>
    </w:p>
    <w:p>
      <w:pPr>
        <w:ind w:firstLine="420"/>
        <w:jc w:val="both"/>
      </w:pPr>
      <w:r>
        <w:rPr>
          <w:color w:val="000000"/>
          <w:sz w:val="21"/>
        </w:rPr>
        <w:t>7、</w:t>
      </w:r>
      <w:r>
        <w:rPr>
          <w:color w:val="000000"/>
          <w:sz w:val="21"/>
        </w:rPr>
        <w:t>小型和微型企业、监狱企业和残疾人福利性单位必须按照竞争性磋商文件</w:t>
      </w:r>
      <w:r>
        <w:rPr>
          <w:color w:val="000000"/>
          <w:sz w:val="21"/>
        </w:rPr>
        <w:t>第三章</w:t>
      </w:r>
      <w:r>
        <w:rPr>
          <w:color w:val="000000"/>
          <w:sz w:val="21"/>
        </w:rPr>
        <w:t>的内容提供相应的资料。</w:t>
      </w:r>
    </w:p>
    <w:p>
      <w:pPr>
        <w:ind w:firstLine="420"/>
        <w:jc w:val="both"/>
      </w:pPr>
      <w:r>
        <w:rPr>
          <w:color w:val="000000"/>
          <w:sz w:val="21"/>
        </w:rPr>
        <w:t>8、</w:t>
      </w:r>
      <w:r>
        <w:rPr>
          <w:color w:val="000000"/>
          <w:sz w:val="21"/>
        </w:rPr>
        <w:t>需落实政府采购政策为：促进中小企业发展政策、支持监狱企业发展政策、支持残疾人福利性单位发展政策、</w:t>
      </w:r>
      <w:r>
        <w:rPr>
          <w:color w:val="000000"/>
          <w:sz w:val="21"/>
        </w:rPr>
        <w:t>优先</w:t>
      </w:r>
      <w:r>
        <w:rPr>
          <w:color w:val="000000"/>
          <w:sz w:val="21"/>
        </w:rPr>
        <w:t>采购节能产品、环境标志产品相关政策等。</w:t>
      </w:r>
    </w:p>
    <w:p>
      <w:pPr>
        <w:jc w:val="both"/>
      </w:pPr>
      <w:r>
        <w:rPr>
          <w:b/>
          <w:color w:val="000000"/>
          <w:sz w:val="21"/>
        </w:rPr>
        <w:t>（四）</w:t>
      </w:r>
      <w:r>
        <w:rPr>
          <w:b/>
          <w:color w:val="000000"/>
          <w:sz w:val="21"/>
        </w:rPr>
        <w:t>其他说明：</w:t>
      </w:r>
    </w:p>
    <w:p>
      <w:pPr>
        <w:jc w:val="both"/>
      </w:pPr>
      <w:r>
        <w:rPr>
          <w:color w:val="000000"/>
          <w:sz w:val="21"/>
        </w:rPr>
        <w:t>1、</w:t>
      </w:r>
      <w:r>
        <w:rPr>
          <w:color w:val="000000"/>
          <w:sz w:val="21"/>
        </w:rPr>
        <w:t>本项目开标方式为远程开标。参与全流程云平台采购项目的供应商登录云平台通过</w:t>
      </w:r>
      <w:r>
        <w:rPr>
          <w:color w:val="000000"/>
          <w:sz w:val="21"/>
        </w:rPr>
        <w:t>“新供应商开标大厅”进行签到及响应文件的解密，签到需在开标时间前</w:t>
      </w:r>
      <w:r>
        <w:rPr>
          <w:color w:val="000000"/>
          <w:sz w:val="21"/>
        </w:rPr>
        <w:t>30</w:t>
      </w:r>
      <w:r>
        <w:rPr>
          <w:color w:val="000000"/>
          <w:sz w:val="21"/>
        </w:rPr>
        <w:t>分钟内完成，不需要委派代表前往开标现场，但为了保证开标程序顺利、高效地完成，响应供应商亦可委派代表携带</w:t>
      </w:r>
      <w:r>
        <w:rPr>
          <w:color w:val="000000"/>
          <w:sz w:val="21"/>
        </w:rPr>
        <w:t>CA-key</w:t>
      </w:r>
      <w:r>
        <w:rPr>
          <w:color w:val="000000"/>
          <w:sz w:val="21"/>
        </w:rPr>
        <w:t>、存储有非加密响应文件的</w:t>
      </w:r>
      <w:r>
        <w:rPr>
          <w:color w:val="000000"/>
          <w:sz w:val="21"/>
        </w:rPr>
        <w:t>U</w:t>
      </w:r>
      <w:r>
        <w:rPr>
          <w:color w:val="000000"/>
          <w:sz w:val="21"/>
        </w:rPr>
        <w:t>盘前往开标现场进行签到、解密。</w:t>
      </w:r>
    </w:p>
    <w:p>
      <w:pPr>
        <w:jc w:val="both"/>
      </w:pPr>
      <w:r>
        <w:rPr>
          <w:color w:val="000000"/>
          <w:sz w:val="21"/>
        </w:rPr>
        <w:t>2、</w:t>
      </w:r>
      <w:r>
        <w:rPr>
          <w:color w:val="000000"/>
          <w:sz w:val="21"/>
        </w:rPr>
        <w:t>采用竞争性谈判、竞争性磋商或单一来源采购方式的项目，进入评标阶段时，如需进行谈判或磋商的，供应商登录云平台通过</w:t>
      </w:r>
      <w:r>
        <w:rPr>
          <w:color w:val="000000"/>
          <w:sz w:val="21"/>
        </w:rPr>
        <w:t>“等候大厅”对专家发起的谈判或磋商进行响应。</w:t>
      </w:r>
    </w:p>
    <w:p>
      <w:pPr>
        <w:jc w:val="both"/>
      </w:pPr>
      <w:r>
        <w:rPr>
          <w:color w:val="000000"/>
          <w:sz w:val="21"/>
        </w:rPr>
        <w:t>3、</w:t>
      </w:r>
      <w:r>
        <w:rPr>
          <w:color w:val="000000"/>
          <w:sz w:val="21"/>
        </w:rPr>
        <w:t>上述流程中供应商电脑需提前安装</w:t>
      </w:r>
      <w:r>
        <w:rPr>
          <w:color w:val="000000"/>
          <w:sz w:val="21"/>
        </w:rPr>
        <w:t>CA</w:t>
      </w:r>
      <w:r>
        <w:rPr>
          <w:color w:val="000000"/>
          <w:sz w:val="21"/>
        </w:rPr>
        <w:t>签章客户端，并运行</w:t>
      </w:r>
      <w:r>
        <w:rPr>
          <w:color w:val="000000"/>
          <w:sz w:val="21"/>
        </w:rPr>
        <w:t>CA</w:t>
      </w:r>
      <w:r>
        <w:rPr>
          <w:color w:val="000000"/>
          <w:sz w:val="21"/>
        </w:rPr>
        <w:t>证书。</w:t>
      </w:r>
    </w:p>
    <w:p>
      <w:pPr>
        <w:jc w:val="both"/>
      </w:pPr>
      <w:r>
        <w:rPr>
          <w:color w:val="000000"/>
          <w:sz w:val="21"/>
        </w:rPr>
        <w:t>4、</w:t>
      </w:r>
      <w:r>
        <w:rPr>
          <w:b/>
          <w:color w:val="000000"/>
          <w:sz w:val="21"/>
        </w:rPr>
        <w:t>请各响应供应商在编制响应文件时注意，涉及到签字或签章的地方，请按要求签字或签章后再上传系统。响应文件加密前请注意所有需要签字、签章、盖章的地方是否齐全无缺漏。请保管好</w:t>
      </w:r>
      <w:r>
        <w:rPr>
          <w:b/>
          <w:color w:val="000000"/>
          <w:sz w:val="21"/>
        </w:rPr>
        <w:t>CA</w:t>
      </w:r>
      <w:r>
        <w:rPr>
          <w:b/>
          <w:color w:val="000000"/>
          <w:sz w:val="21"/>
        </w:rPr>
        <w:t>证书的密码，如遗忘，请及时重置，以免影响响应文件的解密。</w:t>
      </w:r>
    </w:p>
    <w:p>
      <w:pPr>
        <w:jc w:val="both"/>
      </w:pPr>
      <w:r>
        <w:rPr>
          <w:b/>
          <w:color w:val="000000"/>
          <w:sz w:val="21"/>
        </w:rPr>
        <w:t>（五）</w:t>
      </w:r>
      <w:r>
        <w:rPr>
          <w:b/>
          <w:color w:val="000000"/>
          <w:sz w:val="21"/>
        </w:rPr>
        <w:t>响应</w:t>
      </w:r>
      <w:r>
        <w:rPr>
          <w:b/>
          <w:color w:val="000000"/>
          <w:sz w:val="21"/>
        </w:rPr>
        <w:t>报价说明：</w:t>
      </w:r>
    </w:p>
    <w:p>
      <w:pPr>
        <w:ind w:firstLine="420"/>
        <w:jc w:val="both"/>
      </w:pPr>
      <w:r>
        <w:rPr>
          <w:color w:val="000000"/>
          <w:sz w:val="21"/>
        </w:rPr>
        <w:t>响应报价包括：项目运营费、策划、服务人员费、保险费、各项税费等成交供应商为完成项目运营而产生的所有费用，成交后采购人不再另行支付任何其它费用。</w:t>
      </w:r>
    </w:p>
    <w:p>
      <w:pPr>
        <w:jc w:val="both"/>
      </w:pPr>
      <w:r>
        <w:rPr>
          <w:b/>
          <w:color w:val="000000"/>
          <w:sz w:val="21"/>
        </w:rPr>
        <w:t>（六）</w:t>
      </w:r>
      <w:r>
        <w:rPr>
          <w:b/>
          <w:color w:val="000000"/>
          <w:sz w:val="21"/>
        </w:rPr>
        <w:t>实现的目标</w:t>
      </w:r>
    </w:p>
    <w:p>
      <w:pPr>
        <w:ind w:firstLine="420"/>
        <w:jc w:val="both"/>
      </w:pPr>
      <w:r>
        <w:rPr>
          <w:color w:val="000000"/>
          <w:sz w:val="21"/>
        </w:rPr>
        <w:t>完成采购人</w:t>
      </w:r>
      <w:r>
        <w:rPr>
          <w:color w:val="000000"/>
          <w:sz w:val="21"/>
        </w:rPr>
        <w:t>“广州统战”微信公众号维护与运营。</w:t>
      </w:r>
    </w:p>
    <w:p>
      <w:pPr>
        <w:jc w:val="both"/>
      </w:pPr>
      <w:r>
        <w:rPr>
          <w:b/>
          <w:color w:val="000000"/>
          <w:sz w:val="21"/>
        </w:rPr>
        <w:t>（七）</w:t>
      </w:r>
      <w:r>
        <w:rPr>
          <w:b/>
          <w:color w:val="000000"/>
          <w:sz w:val="21"/>
        </w:rPr>
        <w:t>需执行国家相关标准、行业标准、地方标准或者其他标准、规范。</w:t>
      </w:r>
    </w:p>
    <w:p/>
    <w:p>
      <w:pPr>
        <w:ind w:firstLine="480"/>
      </w:pPr>
    </w:p>
    <w:p/>
    <w:p>
      <w:r>
        <w:rPr/>
        <w:t>采购包1（“广州统战”微信公众号维护与运营）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 合同签订之日起 5个工作日内支付合同金额的50%作为预付款； 2. 采购人在验收通过且收到发票后10个工作日内向成交供应商拨付合同金额的50%。 3. 支付方式：采用支票、银行汇付（含电汇）等形式。</w:t>
            </w:r>
          </w:p>
        </w:tc>
      </w:tr>
      <w:tr>
        <w:tc>
          <w:tcPr>
            <w:tcW w:type="dxa" w:w="4153"/>
          </w:tcPr>
          <w:p>
            <w:r>
              <w:rPr/>
              <w:t>验收要求</w:t>
            </w:r>
          </w:p>
        </w:tc>
        <w:tc>
          <w:tcPr>
            <w:tcW w:type="dxa" w:w="4153"/>
          </w:tcPr>
          <w:p/>
          <w:p/>
          <w:p/>
          <w:p>
            <w:r>
              <w:rPr/>
              <w:t>1期：1.采购人在收到成交供应商项目验收申请后 7 日内按照合同的约定对履约情况进行验收，对每一项技术、服务、安全标准的履约情况进行确认。 2.验收由采购人组织相关人员依照有关标准、项目及合同要求进行。 3.验收完毕由采购人及成交供应商在验收报告上盖章确认。 4.成交供应商开展的相关工作及提交的验收内容应得到采购人认同、验收后方为完成合同内容；对验收不合格的部分，成交供应商应在采购人规定时间内及时整改完善直至合格。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互联网信息服务</w:t>
            </w:r>
          </w:p>
        </w:tc>
        <w:tc>
          <w:tcPr>
            <w:tcW w:type="dxa" w:w="933"/>
          </w:tcPr>
          <w:p>
            <w:pPr>
              <w:jc w:val="left"/>
            </w:pPr>
            <w:r>
              <w:rPr/>
              <w:t>“广州统战”微信公众号维护与运营</w:t>
            </w:r>
          </w:p>
        </w:tc>
        <w:tc>
          <w:tcPr>
            <w:tcW w:type="dxa" w:w="933"/>
          </w:tcPr>
          <w:p>
            <w:pPr>
              <w:jc w:val="left"/>
            </w:pPr>
            <w:r>
              <w:rPr/>
              <w:t>年</w:t>
            </w:r>
          </w:p>
        </w:tc>
        <w:tc>
          <w:tcPr>
            <w:tcW w:type="dxa" w:w="933"/>
          </w:tcPr>
          <w:p>
            <w:pPr>
              <w:jc w:val="right"/>
            </w:pPr>
            <w:r>
              <w:rPr/>
              <w:t>1.00</w:t>
            </w:r>
          </w:p>
        </w:tc>
        <w:tc>
          <w:tcPr>
            <w:tcW w:type="dxa" w:w="933"/>
          </w:tcPr>
          <w:p>
            <w:pPr>
              <w:jc w:val="right"/>
            </w:pPr>
            <w:r>
              <w:rPr/>
              <w:t>325,000.00</w:t>
            </w:r>
          </w:p>
        </w:tc>
        <w:tc>
          <w:tcPr>
            <w:tcW w:type="dxa" w:w="933"/>
          </w:tcPr>
          <w:p>
            <w:pPr>
              <w:jc w:val="right"/>
            </w:pPr>
            <w:r>
              <w:rPr/>
              <w:t>325,000.00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“广州统战”微信公众号维护与运营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一、主要服务内容</w:t>
            </w:r>
          </w:p>
          <w:tbl>
            <w:tblPr>
              <w:tblBorders>
                <w:top w:val="none" w:color="000000" w:sz="4"/>
                <w:left w:val="none" w:color="000000" w:sz="4"/>
                <w:bottom w:val="none" w:color="000000" w:sz="4"/>
                <w:right w:val="none" w:color="000000" w:sz="4"/>
                <w:insideH w:val="none"/>
                <w:insideV w:val="none"/>
              </w:tblBorders>
            </w:tblPr>
            <w:tblGrid>
              <w:gridCol w:w="1419"/>
              <w:gridCol w:w="4178"/>
            </w:tblGrid>
            <w:tr>
              <w:tc>
                <w:tcPr>
                  <w:tcW w:type="dxa" w:w="1419"/>
                  <w:tcBorders>
                    <w:top w:val="single" w:color="000000" w:sz="4"/>
                    <w:left w:val="single" w:color="000000" w:sz="4"/>
                    <w:bottom w:val="single" w:color="000000" w:sz="4"/>
                    <w:right w:val="single" w:color="000000" w:sz="4"/>
                  </w:tcBorders>
                  <w:vAlign w:val="top"/>
                </w:tcPr>
                <w:p>
                  <w:pPr>
                    <w:jc w:val="center"/>
                  </w:pPr>
                  <w:r>
                    <w:rPr>
                      <w:b/>
                      <w:sz w:val="21"/>
                    </w:rPr>
                    <w:t>服务项目</w:t>
                  </w:r>
                </w:p>
              </w:tc>
              <w:tc>
                <w:tcPr>
                  <w:tcW w:type="dxa" w:w="4178"/>
                  <w:tcBorders>
                    <w:top w:val="single" w:color="000000" w:sz="4"/>
                    <w:left w:val="single" w:color="000000" w:sz="4"/>
                    <w:bottom w:val="single" w:color="000000" w:sz="4"/>
                    <w:right w:val="single" w:color="000000" w:sz="4"/>
                  </w:tcBorders>
                  <w:vAlign w:val="top"/>
                </w:tcPr>
                <w:p>
                  <w:pPr>
                    <w:jc w:val="center"/>
                  </w:pPr>
                  <w:r>
                    <w:rPr>
                      <w:b/>
                      <w:sz w:val="21"/>
                    </w:rPr>
                    <w:t>服务内容</w:t>
                  </w:r>
                </w:p>
              </w:tc>
            </w:tr>
            <w:tr>
              <w:tc>
                <w:tcPr>
                  <w:tcW w:type="dxa" w:w="1419"/>
                  <w:vMerge w:val="restart"/>
                  <w:tcBorders>
                    <w:top w:val="none" w:color="000000" w:sz="4"/>
                    <w:left w:val="single" w:color="000000" w:sz="4"/>
                    <w:bottom w:val="single" w:color="000000" w:sz="4"/>
                    <w:right w:val="single" w:color="000000" w:sz="4"/>
                  </w:tcBorders>
                  <w:vAlign w:val="top"/>
                </w:tcPr>
                <w:p>
                  <w:pPr>
                    <w:jc w:val="center"/>
                  </w:pPr>
                  <w:r>
                    <w:rPr>
                      <w:sz w:val="21"/>
                    </w:rPr>
                    <w:t>“广州统战”微信公众号维护与运营</w:t>
                  </w:r>
                </w:p>
              </w:tc>
              <w:tc>
                <w:tcPr>
                  <w:tcW w:type="dxa" w:w="4178"/>
                  <w:tcBorders>
                    <w:top w:val="none" w:color="000000" w:sz="4"/>
                    <w:left w:val="single" w:color="000000" w:sz="4"/>
                    <w:bottom w:val="single" w:color="000000" w:sz="4"/>
                    <w:right w:val="single" w:color="000000" w:sz="4"/>
                  </w:tcBorders>
                  <w:vAlign w:val="top"/>
                </w:tcPr>
                <w:p>
                  <w:pPr>
                    <w:numPr>
                      <w:ilvl w:val="0"/>
                      <w:numId w:val="1"/>
                    </w:numPr>
                    <w:jc w:val="left"/>
                  </w:pPr>
                  <w:r>
                    <w:rPr>
                      <w:sz w:val="21"/>
                    </w:rPr>
                    <w:t>承办</w:t>
                  </w:r>
                  <w:r>
                    <w:rPr>
                      <w:sz w:val="21"/>
                    </w:rPr>
                    <w:t>“广州统战”微信公众号运营工作，包括但不限于信息编辑发布、数据统计、宣传推广。</w:t>
                  </w:r>
                </w:p>
              </w:tc>
            </w:tr>
            <w:tr>
              <w:tc>
                <w:tcPr>
                  <w:tcW w:type="dxa" w:w="1419"/>
                  <w:vMerge/>
                  <w:tcBorders>
                    <w:top w:val="none" w:color="000000" w:sz="4"/>
                    <w:left w:val="single" w:color="000000" w:sz="4"/>
                    <w:bottom w:val="single" w:color="000000" w:sz="4"/>
                    <w:right w:val="single" w:color="000000" w:sz="4"/>
                  </w:tcBorders>
                </w:tcPr>
                <w:p/>
              </w:tc>
              <w:tc>
                <w:tcPr>
                  <w:tcW w:type="dxa" w:w="4178"/>
                  <w:tcBorders>
                    <w:top w:val="none" w:color="000000" w:sz="4"/>
                    <w:left w:val="single" w:color="000000" w:sz="4"/>
                    <w:bottom w:val="single" w:color="000000" w:sz="4"/>
                    <w:right w:val="single" w:color="000000" w:sz="4"/>
                  </w:tcBorders>
                  <w:vAlign w:val="top"/>
                </w:tcPr>
                <w:p>
                  <w:pPr>
                    <w:numPr>
                      <w:ilvl w:val="0"/>
                      <w:numId w:val="2"/>
                    </w:numPr>
                    <w:jc w:val="left"/>
                  </w:pPr>
                  <w:r>
                    <w:rPr>
                      <w:sz w:val="21"/>
                    </w:rPr>
                    <w:t>建立项目运营团队，至少包括</w:t>
                  </w:r>
                  <w:r>
                    <w:rPr>
                      <w:sz w:val="21"/>
                    </w:rPr>
                    <w:t>1名项目统筹人员、1名编辑人员负责微信公众号运营服务、运营数据整理。</w:t>
                  </w:r>
                </w:p>
              </w:tc>
            </w:tr>
            <w:tr>
              <w:tc>
                <w:tcPr>
                  <w:tcW w:type="dxa" w:w="1419"/>
                  <w:vMerge/>
                  <w:tcBorders>
                    <w:top w:val="none" w:color="000000" w:sz="4"/>
                    <w:left w:val="single" w:color="000000" w:sz="4"/>
                    <w:bottom w:val="single" w:color="000000" w:sz="4"/>
                    <w:right w:val="single" w:color="000000" w:sz="4"/>
                  </w:tcBorders>
                </w:tcPr>
                <w:p/>
              </w:tc>
              <w:tc>
                <w:tcPr>
                  <w:tcW w:type="dxa" w:w="4178"/>
                  <w:tcBorders>
                    <w:top w:val="none" w:color="000000" w:sz="4"/>
                    <w:left w:val="single" w:color="000000" w:sz="4"/>
                    <w:bottom w:val="single" w:color="000000" w:sz="4"/>
                    <w:right w:val="single" w:color="000000" w:sz="4"/>
                  </w:tcBorders>
                  <w:vAlign w:val="top"/>
                </w:tcPr>
                <w:p>
                  <w:pPr>
                    <w:numPr>
                      <w:ilvl w:val="0"/>
                      <w:numId w:val="2"/>
                    </w:numPr>
                    <w:jc w:val="left"/>
                  </w:pPr>
                  <w:r>
                    <w:rPr>
                      <w:sz w:val="21"/>
                    </w:rPr>
                    <w:t>根据采购人提供的稿件，负责</w:t>
                  </w:r>
                  <w:r>
                    <w:rPr>
                      <w:sz w:val="21"/>
                    </w:rPr>
                    <w:t>“广州统战”政务微信的内容编辑排版、栏目不定期优化。</w:t>
                  </w:r>
                </w:p>
              </w:tc>
            </w:tr>
            <w:tr>
              <w:tc>
                <w:tcPr>
                  <w:tcW w:type="dxa" w:w="1419"/>
                  <w:vMerge/>
                  <w:tcBorders>
                    <w:top w:val="none" w:color="000000" w:sz="4"/>
                    <w:left w:val="single" w:color="000000" w:sz="4"/>
                    <w:bottom w:val="single" w:color="000000" w:sz="4"/>
                    <w:right w:val="single" w:color="000000" w:sz="4"/>
                  </w:tcBorders>
                </w:tcPr>
                <w:p/>
              </w:tc>
              <w:tc>
                <w:tcPr>
                  <w:tcW w:type="dxa" w:w="4178"/>
                  <w:tcBorders>
                    <w:top w:val="none" w:color="000000" w:sz="4"/>
                    <w:left w:val="single" w:color="000000" w:sz="4"/>
                    <w:bottom w:val="single" w:color="000000" w:sz="4"/>
                    <w:right w:val="single" w:color="000000" w:sz="4"/>
                  </w:tcBorders>
                  <w:vAlign w:val="top"/>
                </w:tcPr>
                <w:p>
                  <w:pPr>
                    <w:jc w:val="both"/>
                  </w:pPr>
                  <w:r>
                    <w:rPr>
                      <w:sz w:val="21"/>
                    </w:rPr>
                    <w:t>4、微信公众号每个工作日推送1—3次信息，每次信息3条稿件以内；非工作日推送的稿件提前编辑，定时发布。原则上每周推送不超过15条微信信息。</w:t>
                  </w:r>
                </w:p>
              </w:tc>
            </w:tr>
          </w:tbl>
          <w:p>
            <w:pPr>
              <w:jc w:val="both"/>
            </w:pPr>
            <w:r>
              <w:rPr>
                <w:b/>
                <w:sz w:val="21"/>
              </w:rPr>
              <w:t>二、其他服务要求</w:t>
            </w:r>
          </w:p>
          <w:p>
            <w:pPr>
              <w:ind w:firstLine="420"/>
              <w:jc w:val="both"/>
            </w:pPr>
            <w:r>
              <w:rPr>
                <w:sz w:val="21"/>
              </w:rPr>
              <w:t>1. 成交供应商必须具有良好的政治思想素质，具有开展相关工作的能力和精力。</w:t>
            </w:r>
          </w:p>
          <w:p>
            <w:pPr>
              <w:ind w:firstLine="420"/>
              <w:jc w:val="both"/>
            </w:pPr>
            <w:r>
              <w:rPr>
                <w:sz w:val="21"/>
              </w:rPr>
              <w:t>2. 成交供应商应具有同类项目服务经验，为本项目服务提供经验基础。</w:t>
            </w:r>
          </w:p>
          <w:p>
            <w:pPr>
              <w:ind w:firstLine="420"/>
              <w:jc w:val="both"/>
            </w:pPr>
            <w:r>
              <w:rPr>
                <w:sz w:val="21"/>
              </w:rPr>
              <w:t>3.</w:t>
            </w:r>
            <w:r>
              <w:rPr>
                <w:sz w:val="21"/>
              </w:rPr>
              <w:t>成交供应商</w:t>
            </w:r>
            <w:r>
              <w:rPr>
                <w:sz w:val="21"/>
              </w:rPr>
              <w:t>承诺向采购人提供符合项目要求的服务，如成交将严格按照磋商文件和双方签订的项目合同</w:t>
            </w:r>
            <w:r>
              <w:rPr>
                <w:sz w:val="21"/>
              </w:rPr>
              <w:t>认真履行。</w:t>
            </w:r>
          </w:p>
          <w:p>
            <w:pPr>
              <w:ind w:firstLine="420"/>
              <w:jc w:val="both"/>
            </w:pPr>
            <w:r>
              <w:rPr>
                <w:sz w:val="21"/>
              </w:rPr>
              <w:t>4. 采购人及成交供应商对本项目的最终实施服务项目内容负有保密的义务，保证在本项目实施完毕以前不向第三方泄露项目内容。</w:t>
            </w:r>
          </w:p>
          <w:p>
            <w:pPr>
              <w:ind w:firstLine="420"/>
              <w:jc w:val="both"/>
            </w:pPr>
            <w:r>
              <w:rPr>
                <w:sz w:val="21"/>
              </w:rPr>
              <w:t>5. 成交供应商不得以任何方式转包或分包本项目。</w:t>
            </w:r>
          </w:p>
          <w:p>
            <w:pPr>
              <w:jc w:val="both"/>
            </w:pPr>
            <w:r>
              <w:rPr>
                <w:b/>
                <w:sz w:val="21"/>
              </w:rPr>
              <w:t>三、服务承诺</w:t>
            </w:r>
          </w:p>
          <w:p>
            <w:pPr>
              <w:ind w:firstLine="420"/>
              <w:jc w:val="both"/>
            </w:pPr>
            <w:r>
              <w:rPr>
                <w:sz w:val="21"/>
              </w:rPr>
              <w:t>1. 成交供应商收到成交通知书后需与采购人有关部门办理相关的业务手续，签订合同及时提供产品和服务；</w:t>
            </w:r>
          </w:p>
          <w:p>
            <w:pPr>
              <w:ind w:firstLine="420"/>
              <w:jc w:val="left"/>
            </w:pPr>
            <w:r>
              <w:rPr>
                <w:sz w:val="21"/>
              </w:rPr>
              <w:t>2. 成交供应商需保证在采购人要求的期限内按采购人要求的内容、服务标准和时间提供采购人要求的服务和产品，不得延误。</w:t>
            </w:r>
          </w:p>
          <w:p>
            <w:pPr>
              <w:jc w:val="left"/>
            </w:pPr>
            <w:r>
              <w:rPr>
                <w:b/>
                <w:sz w:val="21"/>
              </w:rPr>
              <w:t>四、其他要求</w:t>
            </w:r>
          </w:p>
          <w:p>
            <w:pPr>
              <w:ind w:firstLine="420"/>
              <w:jc w:val="left"/>
            </w:pPr>
            <w:r>
              <w:rPr>
                <w:sz w:val="21"/>
              </w:rPr>
              <w:t>1.</w:t>
            </w:r>
            <w:r>
              <w:rPr>
                <w:sz w:val="21"/>
              </w:rPr>
              <w:t>拟投入本项目团队成员综合实力</w:t>
            </w:r>
          </w:p>
          <w:p>
            <w:pPr>
              <w:ind w:firstLine="420"/>
              <w:jc w:val="left"/>
            </w:pPr>
            <w:r>
              <w:rPr>
                <w:sz w:val="21"/>
              </w:rPr>
              <w:t>响应供应商根据项目的实际情况，科学合理地拟定本项目</w:t>
            </w:r>
            <w:r>
              <w:rPr>
                <w:sz w:val="21"/>
              </w:rPr>
              <w:t>拟投入本项目团队成员综合实力</w:t>
            </w:r>
            <w:r>
              <w:rPr>
                <w:sz w:val="21"/>
              </w:rPr>
              <w:t>，对如下内容作出详细说明：（</w:t>
            </w:r>
            <w:r>
              <w:rPr>
                <w:sz w:val="21"/>
              </w:rPr>
              <w:t>1）团队人员配置；（2）岗位分工；（3）人员能力。</w:t>
            </w:r>
          </w:p>
          <w:p>
            <w:pPr>
              <w:ind w:firstLine="420"/>
              <w:jc w:val="left"/>
            </w:pPr>
            <w:r>
              <w:rPr>
                <w:sz w:val="21"/>
              </w:rPr>
              <w:t>2. 对项目的理解程度</w:t>
            </w:r>
          </w:p>
          <w:p>
            <w:pPr>
              <w:ind w:firstLine="420"/>
              <w:jc w:val="left"/>
            </w:pPr>
            <w:r>
              <w:rPr>
                <w:sz w:val="21"/>
              </w:rPr>
              <w:t>响应供应商根据项目的实际情况，科学合理地拟定</w:t>
            </w:r>
            <w:r>
              <w:rPr>
                <w:sz w:val="21"/>
              </w:rPr>
              <w:t>对项目的理解</w:t>
            </w:r>
            <w:r>
              <w:rPr>
                <w:sz w:val="21"/>
              </w:rPr>
              <w:t>程度</w:t>
            </w:r>
            <w:r>
              <w:rPr>
                <w:sz w:val="21"/>
              </w:rPr>
              <w:t>，对如下内容作出详细说明：（</w:t>
            </w:r>
            <w:r>
              <w:rPr>
                <w:sz w:val="21"/>
              </w:rPr>
              <w:t>1）项目的理解；（2）项目特点和性质；（3）合理化建议。</w:t>
            </w:r>
          </w:p>
          <w:p>
            <w:pPr>
              <w:ind w:firstLine="420"/>
              <w:jc w:val="left"/>
            </w:pPr>
            <w:r>
              <w:rPr>
                <w:sz w:val="21"/>
              </w:rPr>
              <w:t>3.</w:t>
            </w:r>
            <w:r>
              <w:rPr>
                <w:sz w:val="21"/>
              </w:rPr>
              <w:t>总体服务方案</w:t>
            </w:r>
          </w:p>
          <w:p>
            <w:pPr>
              <w:ind w:firstLine="420"/>
              <w:jc w:val="left"/>
            </w:pPr>
            <w:r>
              <w:rPr>
                <w:sz w:val="21"/>
              </w:rPr>
              <w:t>响应供应商根据项目的实际情况，科学合理地拟定本项目的总体服务方案，对如下内容作出详细说明：（</w:t>
            </w:r>
            <w:r>
              <w:rPr>
                <w:sz w:val="21"/>
              </w:rPr>
              <w:t>1）工作标准；（2）工作流程；（3）服务内容；（4）服务方式。</w:t>
            </w:r>
          </w:p>
          <w:p>
            <w:pPr>
              <w:ind w:firstLine="420"/>
              <w:jc w:val="left"/>
            </w:pPr>
            <w:r>
              <w:rPr>
                <w:sz w:val="21"/>
              </w:rPr>
              <w:t>4. 服务质量保障措施</w:t>
            </w:r>
          </w:p>
          <w:p>
            <w:pPr>
              <w:ind w:firstLine="420"/>
              <w:jc w:val="left"/>
            </w:pPr>
            <w:r>
              <w:rPr>
                <w:sz w:val="21"/>
              </w:rPr>
              <w:t>响应供应商根据项目的实际情况，科学合理地拟定本项目的服务质量保障措施，对如下内容作出详细说明：（</w:t>
            </w:r>
            <w:r>
              <w:rPr>
                <w:sz w:val="21"/>
              </w:rPr>
              <w:t>1）服务团队稳定性保障；（2）各环节关键节点质量保证措施；（3）验收保障措施。</w:t>
            </w:r>
          </w:p>
          <w:p>
            <w:pPr>
              <w:ind w:firstLine="420"/>
              <w:jc w:val="left"/>
            </w:pPr>
            <w:r>
              <w:rPr>
                <w:sz w:val="21"/>
              </w:rPr>
              <w:t>5. 数据整理方案</w:t>
            </w:r>
          </w:p>
          <w:p>
            <w:pPr>
              <w:jc w:val="both"/>
            </w:pPr>
            <w:r>
              <w:rPr>
                <w:sz w:val="21"/>
              </w:rPr>
              <w:t>响应供应商根据项目的实际情况，科学合理地拟定本项目的数据整理方案，对如下内容作出详细说明：（</w:t>
            </w:r>
            <w:r>
              <w:rPr>
                <w:sz w:val="21"/>
              </w:rPr>
              <w:t>1）数据分类；（2）数据统计；（3）数据分析。</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中国共产党广州市委员会统战部</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采购机构代理服务收费标准：本项目的招标代理服务费由成交供应商在领取《成交通知书》前一次性向采购代理机构交纳以下金额： ￥4,800.00元（大写：人民币肆仟捌佰元整）。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李国晨、郑璧伦</w:t>
      </w:r>
    </w:p>
    <w:p>
      <w:pPr>
        <w:ind w:firstLine="480"/>
      </w:pPr>
      <w:r>
        <w:rPr/>
        <w:t>电话：</w:t>
      </w:r>
      <w:r>
        <w:rPr/>
        <w:t>020-31603842、020-37635007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统战”微信公众号维护与运营)：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采购包1（“广州统战”微信公众号维护与运营）：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采购包1（“广州统战”微信公众号维护与运营）：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采购包1（“广州统战”微信公众号维护与运营）：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采购包1(“广州统战”微信公众号维护与运营):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对项目的理解程度（一） (3.0分)</w:t>
            </w:r>
          </w:p>
        </w:tc>
        <w:tc>
          <w:tcPr>
            <w:tcW w:type="dxa" w:w="5076"/>
          </w:tcPr>
          <w:p>
            <w:pPr>
              <w:jc w:val="left"/>
            </w:pPr>
            <w:r>
              <w:rPr/>
              <w:t>评标委员会根据响应供应商提供的对项目的理解程度（一）进行评审，方案应包括： （1）项目的理解； （2）项目特点和性质； （3）合理化建议。 注：提供全部内容 得3分，每缺1项扣1分。</w:t>
            </w:r>
          </w:p>
        </w:tc>
      </w:tr>
      <w:tr>
        <w:tc>
          <w:tcPr>
            <w:tcW w:type="dxa" w:w="922"/>
            <w:gridSpan w:val="2"/>
            <w:vMerge/>
          </w:tcPr>
          <w:p/>
        </w:tc>
        <w:tc>
          <w:tcPr>
            <w:tcW w:type="dxa" w:w="2307"/>
          </w:tcPr>
          <w:p>
            <w:pPr>
              <w:jc w:val="left"/>
            </w:pPr>
            <w:r>
              <w:rPr/>
              <w:t>对项目的理解程度（二） (11.0分)</w:t>
            </w:r>
            <w:r>
              <w:rPr/>
              <w:t>，（等次分值选择：</w:t>
            </w:r>
            <w:r>
              <w:rPr/>
              <w:t>0.0;</w:t>
            </w:r>
            <w:r>
              <w:rPr/>
              <w:t>1.0;</w:t>
            </w:r>
            <w:r>
              <w:rPr/>
              <w:t>5.0;</w:t>
            </w:r>
            <w:r>
              <w:rPr/>
              <w:t>11.0;</w:t>
            </w:r>
            <w:r>
              <w:rPr/>
              <w:t>）</w:t>
            </w:r>
          </w:p>
        </w:tc>
        <w:tc>
          <w:tcPr>
            <w:tcW w:type="dxa" w:w="5076"/>
          </w:tcPr>
          <w:p>
            <w:pPr>
              <w:jc w:val="left"/>
            </w:pPr>
            <w:r>
              <w:rPr/>
              <w:t>评标委员会根据响应供应商提供对项目的理解程度（一）的详细内容进行综合评审： （1）针对项目需求有全面理解，能全面把握项目的特点和性质，并针对全部特点和性质提出具体可行的保障措施和合理化的建议，措施建议细致可行，能有效保障本项目实施，有利于实现服务效果，得11分； （2）针对项目需求有全面理解，针对部分特点和性质进行分析，提出针对项目部分特点和性质提出具体可行的保障措施或者合理化建议，措施建议基本可行，能基本保障本项目服务实施，基本满足服务效果，得5分； （3）只针对部分需求进行理解分析或者没有分析项目需求，不理解项目的特点和性质，提出建议不合理或者不具备操作性，难以本项目服务实施或难以达到服务效果，得1分； （4）无提供的得0分。</w:t>
            </w:r>
          </w:p>
        </w:tc>
      </w:tr>
      <w:tr>
        <w:tc>
          <w:tcPr>
            <w:tcW w:type="dxa" w:w="922"/>
            <w:gridSpan w:val="2"/>
            <w:vMerge/>
          </w:tcPr>
          <w:p/>
        </w:tc>
        <w:tc>
          <w:tcPr>
            <w:tcW w:type="dxa" w:w="2307"/>
          </w:tcPr>
          <w:p>
            <w:pPr>
              <w:jc w:val="left"/>
            </w:pPr>
            <w:r>
              <w:rPr/>
              <w:t>总体服务方案（一） (4.0分)</w:t>
            </w:r>
          </w:p>
        </w:tc>
        <w:tc>
          <w:tcPr>
            <w:tcW w:type="dxa" w:w="5076"/>
          </w:tcPr>
          <w:p>
            <w:pPr>
              <w:jc w:val="left"/>
            </w:pPr>
            <w:r>
              <w:rPr/>
              <w:t>评标委员会根据响应供应商提供的总体服务方案（一）进行评审，方案应包括： （1）工作标准； （2）工作流程； （3）服务内容； （4）服务方式。 注：提供全部内容 得4分，每缺1项扣1分。</w:t>
            </w:r>
          </w:p>
        </w:tc>
      </w:tr>
      <w:tr>
        <w:tc>
          <w:tcPr>
            <w:tcW w:type="dxa" w:w="922"/>
            <w:gridSpan w:val="2"/>
            <w:vMerge/>
          </w:tcPr>
          <w:p/>
        </w:tc>
        <w:tc>
          <w:tcPr>
            <w:tcW w:type="dxa" w:w="2307"/>
          </w:tcPr>
          <w:p>
            <w:pPr>
              <w:jc w:val="left"/>
            </w:pPr>
            <w:r>
              <w:rPr/>
              <w:t>总体服务方案（二） (15.0分)</w:t>
            </w:r>
            <w:r>
              <w:rPr/>
              <w:t>，（等次分值选择：</w:t>
            </w:r>
            <w:r>
              <w:rPr/>
              <w:t>0.0;</w:t>
            </w:r>
            <w:r>
              <w:rPr/>
              <w:t>1.0;</w:t>
            </w:r>
            <w:r>
              <w:rPr/>
              <w:t>5.0;</w:t>
            </w:r>
            <w:r>
              <w:rPr/>
              <w:t>10.0;</w:t>
            </w:r>
            <w:r>
              <w:rPr/>
              <w:t>15.0;</w:t>
            </w:r>
            <w:r>
              <w:rPr/>
              <w:t>）</w:t>
            </w:r>
          </w:p>
        </w:tc>
        <w:tc>
          <w:tcPr>
            <w:tcW w:type="dxa" w:w="5076"/>
          </w:tcPr>
          <w:p>
            <w:pPr>
              <w:jc w:val="left"/>
            </w:pPr>
            <w:r>
              <w:rPr/>
              <w:t>评标委员会根据响应供应商提供总体服务方案（一）的详细内容进行综合评审： （1）总体服务方案对需求充分响应，对需求全面剖析，针对重点、难点、要点需求全面理解，分别提出具备专业性、实用性的实施方案并有合理可行保障措施，有效保障本项目实施，有利于实现服务效果，得15分； （2）总体服务方案对需求充分响应，对需求全面剖析，针对全部重点、难点、要点需求进行理解，提出部分具备专业性、实用性的实施方案或者部分合理可行保障措施，基本保障本项目服务实施，基本满足服务效果，得10分； （3）总体服务方案对需求充分响应，对部分需求进行剖析，针对部分重点、难点、要点需求进行理解，提出部分具备专业性、实用性的实施方案或者部分合理可行保障措施，基本保障本项目服务实施，部分满足服务效果，得5分； （4）总体服务方案对需求响应不充分，没有对需求进行理解进行剖析，没有提出体现专业性或针对性的措施，或者措施方案不合理不可行的，无法保障本项目服务实施，达不到服务效果，得1分； （5）无提供的得0分。</w:t>
            </w:r>
          </w:p>
        </w:tc>
      </w:tr>
      <w:tr>
        <w:tc>
          <w:tcPr>
            <w:tcW w:type="dxa" w:w="922"/>
            <w:gridSpan w:val="2"/>
            <w:vMerge/>
          </w:tcPr>
          <w:p/>
        </w:tc>
        <w:tc>
          <w:tcPr>
            <w:tcW w:type="dxa" w:w="2307"/>
          </w:tcPr>
          <w:p>
            <w:pPr>
              <w:jc w:val="left"/>
            </w:pPr>
            <w:r>
              <w:rPr/>
              <w:t>服务质量保障措施（一） (3.0分)</w:t>
            </w:r>
          </w:p>
        </w:tc>
        <w:tc>
          <w:tcPr>
            <w:tcW w:type="dxa" w:w="5076"/>
          </w:tcPr>
          <w:p>
            <w:pPr>
              <w:jc w:val="left"/>
            </w:pPr>
            <w:r>
              <w:rPr/>
              <w:t>评标委员会根据响应供应商提供的服务质量保障措施（一）进行评审，方案应包括： （1）服务团队稳定性保障； （2）各环节关键节点质量保证措施； （3）验收保障措施。 注：提供全部内容 得3分，每缺1项扣1分。</w:t>
            </w:r>
          </w:p>
        </w:tc>
      </w:tr>
      <w:tr>
        <w:tc>
          <w:tcPr>
            <w:tcW w:type="dxa" w:w="922"/>
            <w:gridSpan w:val="2"/>
            <w:vMerge/>
          </w:tcPr>
          <w:p/>
        </w:tc>
        <w:tc>
          <w:tcPr>
            <w:tcW w:type="dxa" w:w="2307"/>
          </w:tcPr>
          <w:p>
            <w:pPr>
              <w:jc w:val="left"/>
            </w:pPr>
            <w:r>
              <w:rPr/>
              <w:t>服务质量保障措施（二） (11.0分)</w:t>
            </w:r>
            <w:r>
              <w:rPr/>
              <w:t>，（等次分值选择：</w:t>
            </w:r>
            <w:r>
              <w:rPr/>
              <w:t>0.0;</w:t>
            </w:r>
            <w:r>
              <w:rPr/>
              <w:t>1.0;</w:t>
            </w:r>
            <w:r>
              <w:rPr/>
              <w:t>5.0;</w:t>
            </w:r>
            <w:r>
              <w:rPr/>
              <w:t>11.0;</w:t>
            </w:r>
            <w:r>
              <w:rPr/>
              <w:t>）</w:t>
            </w:r>
          </w:p>
        </w:tc>
        <w:tc>
          <w:tcPr>
            <w:tcW w:type="dxa" w:w="5076"/>
          </w:tcPr>
          <w:p>
            <w:pPr>
              <w:jc w:val="left"/>
            </w:pPr>
            <w:r>
              <w:rPr/>
              <w:t>评标委员会根据响应供应商提供服务质量保障措施（一）的详细内容进行综合评审： （1）服务质量保障措施对需求响应全面具体、针对项目全部重点难点全面剖析，能针对全部重点难点提出科学合理、可直接执行的实施方案，有效保障本项目实施，有利于实现服务效果，得11分； （2）服务质量保障措施对需求响应全面具体，针对部分重点难点进剖析，并提出具备执行条件的针对措施，基本保障本项目服务实施，基本满足服务效果，得5分； （3）服务质量保障措施对需求响应不全面，只针对少部分重点或难点问题进行解析或没有剖析项目重点难点问题，提出的措施没有针对性或难以施行的，无法保障本项目服务实施，达不到服务效果，得1分； （4）无提供的得0分。</w:t>
            </w:r>
          </w:p>
        </w:tc>
      </w:tr>
      <w:tr>
        <w:tc>
          <w:tcPr>
            <w:tcW w:type="dxa" w:w="922"/>
            <w:gridSpan w:val="2"/>
            <w:vMerge/>
          </w:tcPr>
          <w:p/>
        </w:tc>
        <w:tc>
          <w:tcPr>
            <w:tcW w:type="dxa" w:w="2307"/>
          </w:tcPr>
          <w:p>
            <w:pPr>
              <w:jc w:val="left"/>
            </w:pPr>
            <w:r>
              <w:rPr/>
              <w:t>数据整理方案（一） (3.0分)</w:t>
            </w:r>
          </w:p>
        </w:tc>
        <w:tc>
          <w:tcPr>
            <w:tcW w:type="dxa" w:w="5076"/>
          </w:tcPr>
          <w:p>
            <w:pPr>
              <w:jc w:val="left"/>
            </w:pPr>
            <w:r>
              <w:rPr/>
              <w:t>评标委员会根据响应供应商提供的数据整理方案（一）进行评审，方案应包括： （1）数据分类； （2）数据统计； （3）数据分析。 注：提供全部内容 得3分，每缺1项扣1分。</w:t>
            </w:r>
          </w:p>
        </w:tc>
      </w:tr>
      <w:tr>
        <w:tc>
          <w:tcPr>
            <w:tcW w:type="dxa" w:w="922"/>
            <w:gridSpan w:val="2"/>
            <w:vMerge/>
          </w:tcPr>
          <w:p/>
        </w:tc>
        <w:tc>
          <w:tcPr>
            <w:tcW w:type="dxa" w:w="2307"/>
          </w:tcPr>
          <w:p>
            <w:pPr>
              <w:jc w:val="left"/>
            </w:pPr>
            <w:r>
              <w:rPr/>
              <w:t>数据整理方案（二） (10.0分)</w:t>
            </w:r>
            <w:r>
              <w:rPr/>
              <w:t>，（等次分值选择：</w:t>
            </w:r>
            <w:r>
              <w:rPr/>
              <w:t>0.0;</w:t>
            </w:r>
            <w:r>
              <w:rPr/>
              <w:t>1.0;</w:t>
            </w:r>
            <w:r>
              <w:rPr/>
              <w:t>5.0;</w:t>
            </w:r>
            <w:r>
              <w:rPr/>
              <w:t>10.0;</w:t>
            </w:r>
            <w:r>
              <w:rPr/>
              <w:t>）</w:t>
            </w:r>
          </w:p>
        </w:tc>
        <w:tc>
          <w:tcPr>
            <w:tcW w:type="dxa" w:w="5076"/>
          </w:tcPr>
          <w:p>
            <w:pPr>
              <w:jc w:val="left"/>
            </w:pPr>
            <w:r>
              <w:rPr/>
              <w:t>评标委员会根据响应供应商提供数据整理方案（一）的详细内容进行综合评审： （1）从数据分类、数据统计、数据分析方面综合评审，满足项目实施要求的，能有效保障本项目实施，有利于实现服务效果的得10分， （2）从数据分类、数据统计、数据分析方面综合评审，方案存在瑕疵的，能基本保障本项目服务实施，基本满足服务效果的得5分， （3）从数据分类、数据统计、数据分析方面综合评审，方案存在不足或缺陷的，难以本项目服务实施或难以达到服务效果的得1分， （4）无提供的得0分。</w:t>
            </w:r>
          </w:p>
        </w:tc>
      </w:tr>
      <w:tr>
        <w:tc>
          <w:tcPr>
            <w:tcW w:type="dxa" w:w="922"/>
            <w:gridSpan w:val="2"/>
            <w:vMerge w:val="restart"/>
          </w:tcPr>
          <w:p>
            <w:pPr>
              <w:jc w:val="center"/>
            </w:pPr>
            <w:r>
              <w:rPr/>
              <w:t>商务部分</w:t>
            </w:r>
          </w:p>
        </w:tc>
        <w:tc>
          <w:tcPr>
            <w:tcW w:type="dxa" w:w="2307"/>
          </w:tcPr>
          <w:p>
            <w:pPr>
              <w:jc w:val="left"/>
            </w:pPr>
            <w:r>
              <w:rPr/>
              <w:t>同类业绩 (6.0分)</w:t>
            </w:r>
          </w:p>
        </w:tc>
        <w:tc>
          <w:tcPr>
            <w:tcW w:type="dxa" w:w="5076"/>
          </w:tcPr>
          <w:p>
            <w:pPr>
              <w:jc w:val="left"/>
            </w:pPr>
            <w:r>
              <w:rPr/>
              <w:t>响应供应商自2021年1月1日（以合同签订时间为准）至今的同类项目业绩，每提供一个得1分，最高得6分。  注：须提供合同或协议的关键页（关键页必须有用户单位名称、合同项目名称、合同标的主要内容、签订合同双方的落款盖章、合同签订日期）复印件，未提交证明材料或者专家无法认定的不得分</w:t>
            </w:r>
          </w:p>
        </w:tc>
      </w:tr>
      <w:tr>
        <w:tc>
          <w:tcPr>
            <w:tcW w:type="dxa" w:w="922"/>
            <w:gridSpan w:val="2"/>
            <w:vMerge/>
          </w:tcPr>
          <w:p/>
        </w:tc>
        <w:tc>
          <w:tcPr>
            <w:tcW w:type="dxa" w:w="2307"/>
          </w:tcPr>
          <w:p>
            <w:pPr>
              <w:jc w:val="left"/>
            </w:pPr>
            <w:r>
              <w:rPr/>
              <w:t>客户评价 (6.0分)</w:t>
            </w:r>
          </w:p>
        </w:tc>
        <w:tc>
          <w:tcPr>
            <w:tcW w:type="dxa" w:w="5076"/>
          </w:tcPr>
          <w:p>
            <w:pPr>
              <w:jc w:val="left"/>
            </w:pPr>
            <w:r>
              <w:rPr/>
              <w:t>响应供应商提供与同类业绩对应的客户评价，客户评价须为良好或以上（如80分或以上，含同等意义的评价、表扬信，服务满意度等），每提供一个得1分，最高得6分。  注： 提供相关证明资料，同一客户多份评分的不重复得分，不提供或专家无法认定的不得分。</w:t>
            </w:r>
          </w:p>
        </w:tc>
      </w:tr>
      <w:tr>
        <w:tc>
          <w:tcPr>
            <w:tcW w:type="dxa" w:w="922"/>
            <w:gridSpan w:val="2"/>
            <w:vMerge/>
          </w:tcPr>
          <w:p/>
        </w:tc>
        <w:tc>
          <w:tcPr>
            <w:tcW w:type="dxa" w:w="2307"/>
          </w:tcPr>
          <w:p>
            <w:pPr>
              <w:jc w:val="left"/>
            </w:pPr>
            <w:r>
              <w:rPr/>
              <w:t>拟投入本项目团队成员综合实力（一） (3.0分)</w:t>
            </w:r>
          </w:p>
        </w:tc>
        <w:tc>
          <w:tcPr>
            <w:tcW w:type="dxa" w:w="5076"/>
          </w:tcPr>
          <w:p>
            <w:pPr>
              <w:jc w:val="left"/>
            </w:pPr>
            <w:r>
              <w:rPr/>
              <w:t>评标委员会根据响应供应商提供的拟投入本项目团队成员综合实力（一）进行评审，方案应包括： （1）团队人员配置； （2）岗位分工； （3）人员能力。 注：提供全部内容 得3分，每缺1项扣1分。</w:t>
            </w:r>
          </w:p>
        </w:tc>
      </w:tr>
      <w:tr>
        <w:tc>
          <w:tcPr>
            <w:tcW w:type="dxa" w:w="922"/>
            <w:gridSpan w:val="2"/>
            <w:vMerge/>
          </w:tcPr>
          <w:p/>
        </w:tc>
        <w:tc>
          <w:tcPr>
            <w:tcW w:type="dxa" w:w="2307"/>
          </w:tcPr>
          <w:p>
            <w:pPr>
              <w:jc w:val="left"/>
            </w:pPr>
            <w:r>
              <w:rPr/>
              <w:t>拟投入本项目团队成员综合实力（二） (10.0分)</w:t>
            </w:r>
            <w:r>
              <w:rPr/>
              <w:t>，（等次分值选择：</w:t>
            </w:r>
            <w:r>
              <w:rPr/>
              <w:t>0.0;</w:t>
            </w:r>
            <w:r>
              <w:rPr/>
              <w:t>1.0;</w:t>
            </w:r>
            <w:r>
              <w:rPr/>
              <w:t>5.0;</w:t>
            </w:r>
            <w:r>
              <w:rPr/>
              <w:t>10.0;</w:t>
            </w:r>
            <w:r>
              <w:rPr/>
              <w:t>）</w:t>
            </w:r>
          </w:p>
        </w:tc>
        <w:tc>
          <w:tcPr>
            <w:tcW w:type="dxa" w:w="5076"/>
          </w:tcPr>
          <w:p>
            <w:pPr>
              <w:jc w:val="left"/>
            </w:pPr>
            <w:r>
              <w:rPr/>
              <w:t>评标委员会根据响应供应商提供拟投入本项目团队成员综合实力（一）的详细内容进行综合评审： （1）从团队人员配置，岗位分工，人员能力方面综合评审，能有效保障本项目实施，有利于实现服务效果的得10分， （2）从团队人员配置，岗位分工，人员能力方面综合评审，所提供内容存在瑕疵的，能基本保障本项目服务实施，基本满足服务效果的得5分， （3）从团队人员配置，岗位分工，人员能力方面综合评审，所提供内容存在不足或缺陷的，难以保障本项目服务实施或难以达到服务效果的得1分， （4）无提供的得0分。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满足竞争性磋商文件要求且响应报价价格最低的响应报价为评标基准价。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6.汇总、排序</w:t>
      </w:r>
    </w:p>
    <w:p>
      <w:pPr>
        <w:ind w:firstLine="480"/>
      </w:pPr>
    </w:p>
    <w:p/>
    <w:p>
      <w:r>
        <w:rPr/>
        <w:t>采购包1：</w:t>
      </w:r>
    </w:p>
    <w:p/>
    <w:p>
      <w:r>
        <w:rPr/>
        <w:t>评标结果按评审后总得分由高到低顺序排列。总得分相同的按响应报价由低到高顺序排列。得分且响应报价相同的，由评委会采取随机抽取的方式确定。排名第一的响应供应商为第一成交候选供应商，排名第二的响应供应商为第二成交候选供应商。</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jc w:val="left"/>
      </w:pPr>
      <w:r>
        <w:rPr>
          <w:b/>
          <w:sz w:val="21"/>
        </w:rPr>
        <w:t>1、合同具体事项须根据采购文件的约定及乙方响应文件的承诺执行；</w:t>
      </w:r>
    </w:p>
    <w:p>
      <w:pPr>
        <w:jc w:val="left"/>
      </w:pPr>
      <w:r>
        <w:rPr>
          <w:b/>
          <w:sz w:val="21"/>
        </w:rPr>
        <w:t>2、本项目合同为中小企业预留合同 。</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w:t>
      </w:r>
      <w:r>
        <w:rPr>
          <w:sz w:val="21"/>
          <w:u w:val="single"/>
        </w:rPr>
        <w:t>广州统战</w:t>
      </w:r>
      <w:r>
        <w:rPr>
          <w:sz w:val="21"/>
          <w:u w:val="single"/>
        </w:rPr>
        <w:t>”微信公众号维护与运营</w:t>
      </w:r>
      <w:r>
        <w:rPr>
          <w:sz w:val="21"/>
        </w:rPr>
        <w:t>竞争性磋商文件（项目编号：</w:t>
      </w:r>
      <w:r>
        <w:rPr>
          <w:sz w:val="21"/>
        </w:rPr>
        <w:t>GZGK23D271C0862C）的要求，经双方协商，本着平等互利和诚实信用的原则，一致同意签订本合同。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ind w:firstLine="420"/>
        <w:jc w:val="both"/>
      </w:pPr>
      <w:r>
        <w:rPr>
          <w:sz w:val="21"/>
        </w:rPr>
        <w:t>1.</w:t>
      </w:r>
      <w:r>
        <w:rPr>
          <w:sz w:val="21"/>
        </w:rPr>
        <w:t xml:space="preserve"> </w:t>
      </w:r>
      <w:r>
        <w:rPr>
          <w:sz w:val="21"/>
        </w:rPr>
        <w:t>甲方在收到乙方项目验收申请后</w:t>
      </w:r>
      <w:r>
        <w:rPr>
          <w:sz w:val="21"/>
        </w:rPr>
        <w:t>7 日内按照合同的约定对履约情况进行验收，对每一项技术、服务、安全标准的履约情况进行确认。</w:t>
      </w:r>
    </w:p>
    <w:p>
      <w:pPr>
        <w:ind w:firstLine="420"/>
        <w:jc w:val="both"/>
      </w:pPr>
      <w:r>
        <w:rPr>
          <w:sz w:val="21"/>
        </w:rPr>
        <w:t>2.验收由甲方组织相关人员依照有关标准、项目及合同要求进行。</w:t>
      </w:r>
    </w:p>
    <w:p>
      <w:pPr>
        <w:ind w:firstLine="420"/>
        <w:jc w:val="both"/>
      </w:pPr>
      <w:r>
        <w:rPr>
          <w:sz w:val="21"/>
        </w:rPr>
        <w:t>3.验收完毕由甲方及乙方在验收报告上盖章确认。</w:t>
      </w:r>
    </w:p>
    <w:p>
      <w:pPr>
        <w:ind w:firstLine="420"/>
        <w:jc w:val="both"/>
      </w:pPr>
      <w:r>
        <w:rPr>
          <w:sz w:val="21"/>
        </w:rPr>
        <w:t>4.乙方开展的相关工作及提交的验收内容应得到甲方认同、验收后方为完成合同内容；对验收不合格的部分，乙方应在甲方规定时间内及时整改完善直至合格</w:t>
      </w:r>
      <w:r>
        <w:rPr>
          <w:color w:val="000000"/>
          <w:sz w:val="21"/>
        </w:rPr>
        <w:t>。</w:t>
      </w:r>
    </w:p>
    <w:p>
      <w:pPr>
        <w:jc w:val="both"/>
      </w:pPr>
      <w:r>
        <w:rPr>
          <w:b/>
          <w:sz w:val="21"/>
        </w:rPr>
        <w:t>九、</w:t>
      </w:r>
      <w:r>
        <w:rPr>
          <w:b/>
          <w:sz w:val="21"/>
        </w:rPr>
        <w:t>知识产权归属</w:t>
      </w:r>
    </w:p>
    <w:p>
      <w:pPr>
        <w:ind w:firstLine="420"/>
        <w:jc w:val="both"/>
      </w:pPr>
      <w:r>
        <w:rPr>
          <w:sz w:val="21"/>
        </w:rPr>
        <w:t>乙方必须保证甲方在中华人民共和国境内使用响应资料、服务或其任何一部分时，享有不受限制的无偿使用权，不会产生因第三方提出侵犯其专利权、商标权或其它知识产权而引起的法律或经济纠纷。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乙方提供的服务不符合竞争性磋商文件、响应文件或本合同规定的，甲方有权拒收，并且乙方须向甲方支付本合同总价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本合同所有附件、竞争性磋商文件、响应文件、成交通知书均为合同的有效组成部分，与本合同具有同等法律效力。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440101-2024-02132</w:t>
      </w:r>
    </w:p>
    <w:p>
      <w:pPr>
        <w:jc w:val="center"/>
      </w:pPr>
      <w:r>
        <w:rPr>
          <w:b/>
          <w:sz w:val="24"/>
        </w:rPr>
        <w:t>采购项目编号：</w:t>
      </w:r>
      <w:r>
        <w:rPr>
          <w:b/>
          <w:sz w:val="24"/>
        </w:rPr>
        <w:t>GZGK23D271C0862C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“广州统战”微信公众号维护与运营</w:t>
      </w:r>
      <w:r>
        <w:rPr>
          <w:u w:val="single"/>
        </w:rPr>
        <w:t>”</w:t>
      </w:r>
      <w:r>
        <w:rPr/>
        <w:t>项目的竞争性磋商[采购项目编号为：</w:t>
      </w:r>
      <w:r>
        <w:rPr>
          <w:u w:val="single"/>
        </w:rPr>
        <w:t>GZGK23D271C0862C</w:t>
      </w:r>
      <w:r>
        <w:rPr/>
        <w:t>]，我方愿参与响应。</w:t>
      </w:r>
    </w:p>
    <w:p>
      <w:pPr>
        <w:ind w:firstLine="480"/>
      </w:pPr>
      <w:r>
        <w:rPr/>
        <w:t>我方确认收到贵方提供的</w:t>
      </w:r>
      <w:r>
        <w:rPr>
          <w:u w:val="single"/>
        </w:rPr>
        <w:t>“</w:t>
      </w:r>
      <w:r>
        <w:rPr>
          <w:u w:val="single"/>
        </w:rPr>
        <w:t>“广州统战”微信公众号维护与运营</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“广州统战”微信公众号维护与运营</w:t>
      </w:r>
      <w:r>
        <w:rPr/>
        <w:t>”项目采购[采购项目编号为</w:t>
      </w:r>
      <w:r>
        <w:rPr/>
        <w:t>GZGK23D271C0862C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中国共产党广州市委员会统战部</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“广州统战”微信公众号维护与运营</w:t>
      </w:r>
      <w:r>
        <w:rPr/>
        <w:t>（采购项目编号：</w:t>
      </w:r>
      <w:r>
        <w:rPr/>
        <w:t>GZGK23D271C0862C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